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p" w:displacedByCustomXml="next"/>
    <w:bookmarkEnd w:id="0" w:displacedByCustomXml="next"/>
    <w:bookmarkStart w:id="1" w:name="OLE_LINK5" w:displacedByCustomXml="next"/>
    <w:bookmarkStart w:id="2" w:name="OLE_LINK6" w:displacedByCustomXml="next"/>
    <w:sdt>
      <w:sdtPr>
        <w:rPr>
          <w:rFonts w:asciiTheme="minorHAnsi" w:eastAsiaTheme="majorEastAsia" w:hAnsiTheme="minorHAnsi" w:cstheme="majorBidi"/>
          <w:b/>
          <w:caps/>
          <w:color w:val="5A5A5A" w:themeColor="text1" w:themeTint="A5"/>
          <w:spacing w:val="15"/>
          <w:sz w:val="22"/>
          <w:szCs w:val="22"/>
        </w:rPr>
        <w:id w:val="1464305450"/>
        <w:docPartObj>
          <w:docPartGallery w:val="Cover Pages"/>
          <w:docPartUnique/>
        </w:docPartObj>
      </w:sdtPr>
      <w:sdtEndPr>
        <w:rPr>
          <w:rFonts w:eastAsia="Times New Roman" w:cs="Times New Roman"/>
          <w:bCs/>
          <w:caps w:val="0"/>
          <w:color w:val="000000" w:themeColor="text1"/>
          <w:kern w:val="36"/>
          <w:sz w:val="32"/>
        </w:rPr>
      </w:sdtEndPr>
      <w:sdtContent>
        <w:tbl>
          <w:tblPr>
            <w:tblpPr w:leftFromText="180" w:rightFromText="180" w:horzAnchor="margin" w:tblpY="555"/>
            <w:tblW w:w="5000" w:type="pct"/>
            <w:tblLook w:val="04A0" w:firstRow="1" w:lastRow="0" w:firstColumn="1" w:lastColumn="0" w:noHBand="0" w:noVBand="1"/>
          </w:tblPr>
          <w:tblGrid>
            <w:gridCol w:w="9360"/>
          </w:tblGrid>
          <w:tr w:rsidR="009B2F9B" w:rsidRPr="004E52F8" w:rsidTr="00A475FE">
            <w:trPr>
              <w:trHeight w:val="2880"/>
            </w:trPr>
            <w:sdt>
              <w:sdtPr>
                <w:rPr>
                  <w:rFonts w:asciiTheme="minorHAnsi" w:eastAsiaTheme="majorEastAsia" w:hAnsiTheme="minorHAnsi" w:cstheme="majorBidi"/>
                  <w:b/>
                  <w:caps/>
                  <w:color w:val="5A5A5A" w:themeColor="text1" w:themeTint="A5"/>
                  <w:spacing w:val="15"/>
                  <w:sz w:val="22"/>
                  <w:szCs w:val="22"/>
                </w:rPr>
                <w:alias w:val="Company"/>
                <w:id w:val="15524243"/>
                <w:placeholder>
                  <w:docPart w:val="54C0F86FE9AB4562B7CE94D46DF5854F"/>
                </w:placeholder>
                <w:dataBinding w:prefixMappings="xmlns:ns0='http://schemas.openxmlformats.org/officeDocument/2006/extended-properties'" w:xpath="/ns0:Properties[1]/ns0:Company[1]" w:storeItemID="{6668398D-A668-4E3E-A5EB-62B293D839F1}"/>
                <w:text/>
              </w:sdtPr>
              <w:sdtEndPr>
                <w:rPr>
                  <w:b w:val="0"/>
                  <w:sz w:val="32"/>
                  <w:szCs w:val="32"/>
                </w:rPr>
              </w:sdtEndPr>
              <w:sdtContent>
                <w:tc>
                  <w:tcPr>
                    <w:tcW w:w="5000" w:type="pct"/>
                  </w:tcPr>
                  <w:p w:rsidR="009B2F9B" w:rsidRPr="004E52F8" w:rsidRDefault="00CC213E" w:rsidP="0081054E">
                    <w:pPr>
                      <w:pStyle w:val="NoSpacing"/>
                      <w:jc w:val="center"/>
                      <w:rPr>
                        <w:rFonts w:asciiTheme="minorHAnsi" w:eastAsiaTheme="majorEastAsia" w:hAnsiTheme="minorHAnsi" w:cstheme="majorBidi"/>
                        <w:caps/>
                      </w:rPr>
                    </w:pPr>
                    <w:r w:rsidRPr="00CC213E">
                      <w:rPr>
                        <w:rFonts w:asciiTheme="minorHAnsi" w:eastAsiaTheme="majorEastAsia" w:hAnsiTheme="minorHAnsi" w:cstheme="majorBidi"/>
                        <w:caps/>
                        <w:color w:val="5A5A5A" w:themeColor="text1" w:themeTint="A5"/>
                        <w:spacing w:val="15"/>
                        <w:sz w:val="32"/>
                        <w:szCs w:val="32"/>
                      </w:rPr>
                      <w:t>OZONE TRANSPORT COMMISSION</w:t>
                    </w:r>
                  </w:p>
                </w:tc>
              </w:sdtContent>
            </w:sdt>
          </w:tr>
          <w:tr w:rsidR="009B2F9B" w:rsidRPr="004E52F8" w:rsidTr="00A475FE">
            <w:trPr>
              <w:trHeight w:val="1440"/>
            </w:trPr>
            <w:sdt>
              <w:sdtPr>
                <w:rPr>
                  <w:rFonts w:asciiTheme="minorHAnsi" w:hAnsiTheme="minorHAnsi"/>
                  <w:sz w:val="48"/>
                  <w:szCs w:val="48"/>
                </w:rPr>
                <w:alias w:val="Title"/>
                <w:id w:val="15524250"/>
                <w:placeholder>
                  <w:docPart w:val="8B17516F6C0A443D83C0674401ECA999"/>
                </w:placeholder>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5B9BD5" w:themeColor="accent1"/>
                    </w:tcBorders>
                    <w:vAlign w:val="center"/>
                  </w:tcPr>
                  <w:p w:rsidR="009B2F9B" w:rsidRPr="004E52F8" w:rsidRDefault="00CC213E" w:rsidP="0081054E">
                    <w:pPr>
                      <w:pStyle w:val="NoSpacing"/>
                      <w:jc w:val="center"/>
                      <w:rPr>
                        <w:rFonts w:asciiTheme="minorHAnsi" w:eastAsiaTheme="majorEastAsia" w:hAnsiTheme="minorHAnsi" w:cstheme="majorBidi"/>
                        <w:sz w:val="80"/>
                        <w:szCs w:val="80"/>
                      </w:rPr>
                    </w:pPr>
                    <w:r w:rsidRPr="0042558F">
                      <w:rPr>
                        <w:rFonts w:asciiTheme="minorHAnsi" w:hAnsiTheme="minorHAnsi"/>
                        <w:sz w:val="48"/>
                        <w:szCs w:val="48"/>
                      </w:rPr>
                      <w:t>Nitrogen Oxides (NOx) and Photo</w:t>
                    </w:r>
                    <w:r>
                      <w:rPr>
                        <w:rFonts w:asciiTheme="minorHAnsi" w:hAnsiTheme="minorHAnsi"/>
                        <w:sz w:val="48"/>
                        <w:szCs w:val="48"/>
                      </w:rPr>
                      <w:t>-</w:t>
                    </w:r>
                    <w:r w:rsidRPr="0042558F">
                      <w:rPr>
                        <w:rFonts w:asciiTheme="minorHAnsi" w:hAnsiTheme="minorHAnsi"/>
                        <w:sz w:val="48"/>
                        <w:szCs w:val="48"/>
                      </w:rPr>
                      <w:t>reactive Volatile Organic Compounds (VOCs)</w:t>
                    </w:r>
                  </w:p>
                </w:tc>
              </w:sdtContent>
            </w:sdt>
          </w:tr>
          <w:tr w:rsidR="009B2F9B" w:rsidRPr="004E52F8" w:rsidTr="00A475FE">
            <w:trPr>
              <w:trHeight w:val="720"/>
            </w:trPr>
            <w:sdt>
              <w:sdtPr>
                <w:rPr>
                  <w:rFonts w:asciiTheme="minorHAnsi" w:hAnsiTheme="minorHAnsi"/>
                  <w:sz w:val="48"/>
                  <w:szCs w:val="48"/>
                </w:rPr>
                <w:alias w:val="Subtitle"/>
                <w:id w:val="15524255"/>
                <w:placeholder>
                  <w:docPart w:val="61B69105838440CCAB4274E8D666030E"/>
                </w:placeholder>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5B9BD5" w:themeColor="accent1"/>
                    </w:tcBorders>
                    <w:vAlign w:val="center"/>
                  </w:tcPr>
                  <w:p w:rsidR="009B2F9B" w:rsidRPr="00793D64" w:rsidRDefault="00CC213E" w:rsidP="0081054E">
                    <w:pPr>
                      <w:pStyle w:val="NoSpacing"/>
                      <w:spacing w:before="240"/>
                      <w:jc w:val="center"/>
                      <w:rPr>
                        <w:rFonts w:asciiTheme="minorHAnsi" w:eastAsiaTheme="majorEastAsia" w:hAnsiTheme="minorHAnsi" w:cstheme="majorBidi"/>
                        <w:sz w:val="44"/>
                        <w:szCs w:val="44"/>
                      </w:rPr>
                    </w:pPr>
                    <w:r>
                      <w:rPr>
                        <w:rFonts w:asciiTheme="minorHAnsi" w:hAnsiTheme="minorHAnsi"/>
                        <w:sz w:val="48"/>
                        <w:szCs w:val="48"/>
                      </w:rPr>
                      <w:t>Technical Support Document</w:t>
                    </w:r>
                  </w:p>
                </w:tc>
              </w:sdtContent>
            </w:sdt>
          </w:tr>
        </w:tbl>
        <w:p w:rsidR="009B2F9B" w:rsidRPr="004E52F8" w:rsidRDefault="009B2F9B" w:rsidP="0081054E">
          <w:pPr>
            <w:spacing w:before="240" w:line="240" w:lineRule="auto"/>
            <w:rPr>
              <w:sz w:val="28"/>
              <w:szCs w:val="28"/>
            </w:rPr>
          </w:pPr>
          <w:r w:rsidRPr="004E52F8">
            <w:rPr>
              <w:sz w:val="28"/>
              <w:szCs w:val="28"/>
            </w:rPr>
            <w:t xml:space="preserve"> </w:t>
          </w:r>
        </w:p>
        <w:p w:rsidR="009B2F9B" w:rsidRDefault="009B2F9B" w:rsidP="0081054E">
          <w:pPr>
            <w:spacing w:after="0" w:line="240" w:lineRule="auto"/>
            <w:jc w:val="center"/>
            <w:rPr>
              <w:sz w:val="28"/>
              <w:szCs w:val="28"/>
            </w:rPr>
          </w:pPr>
        </w:p>
        <w:p w:rsidR="009B2F9B" w:rsidRPr="004E52F8" w:rsidRDefault="009B2F9B" w:rsidP="0081054E">
          <w:pPr>
            <w:spacing w:after="0" w:line="240" w:lineRule="auto"/>
            <w:jc w:val="center"/>
          </w:pPr>
          <w:r w:rsidRPr="004E52F8">
            <w:rPr>
              <w:sz w:val="28"/>
              <w:szCs w:val="28"/>
            </w:rPr>
            <w:t xml:space="preserve">March 16, 2011 – Revised August </w:t>
          </w:r>
          <w:r>
            <w:rPr>
              <w:sz w:val="28"/>
              <w:szCs w:val="28"/>
            </w:rPr>
            <w:t>25</w:t>
          </w:r>
          <w:r w:rsidRPr="004E52F8">
            <w:rPr>
              <w:sz w:val="28"/>
              <w:szCs w:val="28"/>
            </w:rPr>
            <w:t>, 2016</w:t>
          </w:r>
        </w:p>
        <w:p w:rsidR="009B2F9B" w:rsidRPr="004E52F8" w:rsidRDefault="0009546F" w:rsidP="0081054E">
          <w:pPr>
            <w:pStyle w:val="Subtitle"/>
            <w:jc w:val="both"/>
            <w:rPr>
              <w:rFonts w:eastAsia="Times New Roman" w:cs="Times New Roman"/>
              <w:bCs/>
              <w:kern w:val="36"/>
              <w:szCs w:val="24"/>
            </w:rPr>
          </w:pPr>
        </w:p>
      </w:sdtContent>
    </w:sdt>
    <w:p w:rsidR="009B2F9B" w:rsidRPr="004E52F8" w:rsidRDefault="009B2F9B" w:rsidP="0081054E">
      <w:pPr>
        <w:spacing w:line="240" w:lineRule="auto"/>
      </w:pPr>
    </w:p>
    <w:p w:rsidR="009B2F9B" w:rsidRDefault="009B2F9B" w:rsidP="0081054E">
      <w:pPr>
        <w:spacing w:line="240" w:lineRule="auto"/>
      </w:pPr>
      <w:r w:rsidRPr="004E52F8">
        <w:br w:type="page"/>
      </w:r>
    </w:p>
    <w:p w:rsidR="00684591" w:rsidRPr="0009546F" w:rsidRDefault="00684591" w:rsidP="0009546F">
      <w:pPr>
        <w:pStyle w:val="Title"/>
      </w:pPr>
      <w:bookmarkStart w:id="3" w:name="TOC"/>
      <w:r w:rsidRPr="0009546F">
        <w:lastRenderedPageBreak/>
        <w:t>TABLE OF CONTENTS</w:t>
      </w:r>
    </w:p>
    <w:bookmarkEnd w:id="2"/>
    <w:bookmarkEnd w:id="1"/>
    <w:bookmarkEnd w:id="3"/>
    <w:p w:rsidR="00684591" w:rsidRPr="00CA472B" w:rsidRDefault="00684591" w:rsidP="00684591">
      <w:pPr>
        <w:pStyle w:val="TOC1"/>
        <w:tabs>
          <w:tab w:val="left" w:pos="288"/>
        </w:tabs>
        <w:rPr>
          <w:rFonts w:eastAsiaTheme="minorEastAsia" w:cstheme="minorBidi"/>
          <w:noProof/>
          <w:sz w:val="22"/>
          <w:szCs w:val="22"/>
        </w:rPr>
      </w:pPr>
      <w:r w:rsidRPr="00CA472B">
        <w:rPr>
          <w:sz w:val="22"/>
          <w:szCs w:val="22"/>
        </w:rPr>
        <w:fldChar w:fldCharType="begin"/>
      </w:r>
      <w:r w:rsidRPr="00CA472B">
        <w:rPr>
          <w:sz w:val="22"/>
          <w:szCs w:val="22"/>
        </w:rPr>
        <w:instrText xml:space="preserve"> TOC \o "1-4" \f \u </w:instrText>
      </w:r>
      <w:r w:rsidRPr="00CA472B">
        <w:rPr>
          <w:sz w:val="22"/>
          <w:szCs w:val="22"/>
        </w:rPr>
        <w:fldChar w:fldCharType="separate"/>
      </w:r>
      <w:r w:rsidRPr="00CA472B">
        <w:rPr>
          <w:noProof/>
          <w:sz w:val="22"/>
          <w:szCs w:val="22"/>
        </w:rPr>
        <w:t>1.0</w:t>
      </w:r>
      <w:r w:rsidRPr="00CA472B">
        <w:rPr>
          <w:rFonts w:eastAsiaTheme="minorEastAsia" w:cstheme="minorBidi"/>
          <w:noProof/>
          <w:sz w:val="22"/>
          <w:szCs w:val="22"/>
        </w:rPr>
        <w:t xml:space="preserve">   </w:t>
      </w:r>
      <w:r w:rsidRPr="00CA472B">
        <w:rPr>
          <w:noProof/>
          <w:sz w:val="22"/>
          <w:szCs w:val="22"/>
        </w:rPr>
        <w:t>INTRODUCTION…………………………………………..</w:t>
      </w:r>
      <w:r w:rsidRPr="00CA472B">
        <w:rPr>
          <w:noProof/>
          <w:sz w:val="22"/>
          <w:szCs w:val="22"/>
        </w:rPr>
        <w:tab/>
      </w:r>
      <w:r w:rsidRPr="00CA472B">
        <w:rPr>
          <w:noProof/>
          <w:sz w:val="22"/>
          <w:szCs w:val="22"/>
        </w:rPr>
        <w:fldChar w:fldCharType="begin"/>
      </w:r>
      <w:r w:rsidRPr="00CA472B">
        <w:rPr>
          <w:noProof/>
          <w:sz w:val="22"/>
          <w:szCs w:val="22"/>
        </w:rPr>
        <w:instrText xml:space="preserve"> PAGEREF _Toc461027079 \h </w:instrText>
      </w:r>
      <w:r w:rsidRPr="00CA472B">
        <w:rPr>
          <w:noProof/>
          <w:sz w:val="22"/>
          <w:szCs w:val="22"/>
        </w:rPr>
      </w:r>
      <w:r w:rsidRPr="00CA472B">
        <w:rPr>
          <w:noProof/>
          <w:sz w:val="22"/>
          <w:szCs w:val="22"/>
        </w:rPr>
        <w:fldChar w:fldCharType="separate"/>
      </w:r>
      <w:r w:rsidR="00FF69F8">
        <w:rPr>
          <w:noProof/>
          <w:sz w:val="22"/>
          <w:szCs w:val="22"/>
        </w:rPr>
        <w:t>6</w:t>
      </w:r>
      <w:r w:rsidRPr="00CA472B">
        <w:rPr>
          <w:noProof/>
          <w:sz w:val="22"/>
          <w:szCs w:val="22"/>
        </w:rPr>
        <w:fldChar w:fldCharType="end"/>
      </w:r>
    </w:p>
    <w:p w:rsidR="00684591" w:rsidRPr="00CA472B" w:rsidRDefault="00684591" w:rsidP="00684591">
      <w:pPr>
        <w:pStyle w:val="TOC1"/>
        <w:tabs>
          <w:tab w:val="left" w:pos="288"/>
        </w:tabs>
        <w:rPr>
          <w:rFonts w:eastAsiaTheme="minorEastAsia" w:cstheme="minorBidi"/>
          <w:noProof/>
          <w:sz w:val="22"/>
          <w:szCs w:val="22"/>
        </w:rPr>
      </w:pPr>
      <w:r w:rsidRPr="00CA472B">
        <w:rPr>
          <w:noProof/>
          <w:sz w:val="22"/>
          <w:szCs w:val="22"/>
        </w:rPr>
        <w:t>2.0   VOLATILE ORGANIC COMPOUND (VOC) ANALYSIS METHODS</w:t>
      </w:r>
      <w:r w:rsidRPr="00CA472B">
        <w:rPr>
          <w:noProof/>
          <w:sz w:val="22"/>
          <w:szCs w:val="22"/>
        </w:rPr>
        <w:tab/>
      </w:r>
      <w:r w:rsidRPr="00CA472B">
        <w:rPr>
          <w:noProof/>
          <w:sz w:val="22"/>
          <w:szCs w:val="22"/>
        </w:rPr>
        <w:fldChar w:fldCharType="begin"/>
      </w:r>
      <w:r w:rsidRPr="00CA472B">
        <w:rPr>
          <w:noProof/>
          <w:sz w:val="22"/>
          <w:szCs w:val="22"/>
        </w:rPr>
        <w:instrText xml:space="preserve"> PAGEREF _Toc461027080 \h </w:instrText>
      </w:r>
      <w:r w:rsidRPr="00CA472B">
        <w:rPr>
          <w:noProof/>
          <w:sz w:val="22"/>
          <w:szCs w:val="22"/>
        </w:rPr>
      </w:r>
      <w:r w:rsidRPr="00CA472B">
        <w:rPr>
          <w:noProof/>
          <w:sz w:val="22"/>
          <w:szCs w:val="22"/>
        </w:rPr>
        <w:fldChar w:fldCharType="separate"/>
      </w:r>
      <w:r w:rsidR="00FF69F8">
        <w:rPr>
          <w:noProof/>
          <w:sz w:val="22"/>
          <w:szCs w:val="22"/>
        </w:rPr>
        <w:t>8</w:t>
      </w:r>
      <w:r w:rsidRPr="00CA472B">
        <w:rPr>
          <w:noProof/>
          <w:sz w:val="22"/>
          <w:szCs w:val="22"/>
        </w:rPr>
        <w:fldChar w:fldCharType="end"/>
      </w:r>
    </w:p>
    <w:p w:rsidR="00684591" w:rsidRPr="00CA472B" w:rsidRDefault="00684591">
      <w:pPr>
        <w:pStyle w:val="TOC2"/>
        <w:tabs>
          <w:tab w:val="left" w:pos="880"/>
          <w:tab w:val="right" w:leader="dot" w:pos="9350"/>
        </w:tabs>
        <w:rPr>
          <w:rFonts w:asciiTheme="minorHAnsi" w:eastAsiaTheme="minorEastAsia" w:hAnsiTheme="minorHAnsi" w:cstheme="minorBidi"/>
          <w:noProof/>
          <w:sz w:val="22"/>
          <w:szCs w:val="22"/>
        </w:rPr>
      </w:pPr>
      <w:r w:rsidRPr="00CA472B">
        <w:rPr>
          <w:rFonts w:asciiTheme="minorHAnsi" w:hAnsiTheme="minorHAnsi"/>
          <w:noProof/>
          <w:sz w:val="22"/>
          <w:szCs w:val="22"/>
        </w:rPr>
        <w:t>2.1</w:t>
      </w:r>
      <w:r w:rsidRPr="00CA472B">
        <w:rPr>
          <w:rFonts w:asciiTheme="minorHAnsi" w:eastAsiaTheme="minorEastAsia" w:hAnsiTheme="minorHAnsi" w:cstheme="minorBidi"/>
          <w:noProof/>
          <w:sz w:val="22"/>
          <w:szCs w:val="22"/>
        </w:rPr>
        <w:tab/>
      </w:r>
      <w:r w:rsidRPr="00CA472B">
        <w:rPr>
          <w:rFonts w:asciiTheme="minorHAnsi" w:hAnsiTheme="minorHAnsi"/>
          <w:noProof/>
          <w:sz w:val="22"/>
          <w:szCs w:val="22"/>
        </w:rPr>
        <w:t>Stationary Above Ground Storage Tanks</w:t>
      </w:r>
      <w:r w:rsidRPr="00CA472B">
        <w:rPr>
          <w:rFonts w:asciiTheme="minorHAnsi" w:hAnsiTheme="minorHAnsi"/>
          <w:noProof/>
          <w:sz w:val="22"/>
          <w:szCs w:val="22"/>
        </w:rPr>
        <w:tab/>
      </w:r>
      <w:r w:rsidRPr="00CA472B">
        <w:rPr>
          <w:rFonts w:asciiTheme="minorHAnsi" w:hAnsiTheme="minorHAnsi"/>
          <w:noProof/>
          <w:sz w:val="22"/>
          <w:szCs w:val="22"/>
        </w:rPr>
        <w:fldChar w:fldCharType="begin"/>
      </w:r>
      <w:r w:rsidRPr="00CA472B">
        <w:rPr>
          <w:rFonts w:asciiTheme="minorHAnsi" w:hAnsiTheme="minorHAnsi"/>
          <w:noProof/>
          <w:sz w:val="22"/>
          <w:szCs w:val="22"/>
        </w:rPr>
        <w:instrText xml:space="preserve"> PAGEREF _Toc461027081 \h </w:instrText>
      </w:r>
      <w:r w:rsidRPr="00CA472B">
        <w:rPr>
          <w:rFonts w:asciiTheme="minorHAnsi" w:hAnsiTheme="minorHAnsi"/>
          <w:noProof/>
          <w:sz w:val="22"/>
          <w:szCs w:val="22"/>
        </w:rPr>
      </w:r>
      <w:r w:rsidRPr="00CA472B">
        <w:rPr>
          <w:rFonts w:asciiTheme="minorHAnsi" w:hAnsiTheme="minorHAnsi"/>
          <w:noProof/>
          <w:sz w:val="22"/>
          <w:szCs w:val="22"/>
        </w:rPr>
        <w:fldChar w:fldCharType="separate"/>
      </w:r>
      <w:r w:rsidR="00FF69F8">
        <w:rPr>
          <w:rFonts w:asciiTheme="minorHAnsi" w:hAnsiTheme="minorHAnsi"/>
          <w:noProof/>
          <w:sz w:val="22"/>
          <w:szCs w:val="22"/>
        </w:rPr>
        <w:t>8</w:t>
      </w:r>
      <w:r w:rsidRPr="00CA472B">
        <w:rPr>
          <w:rFonts w:asciiTheme="minorHAnsi" w:hAnsiTheme="minorHAnsi"/>
          <w:noProof/>
          <w:sz w:val="22"/>
          <w:szCs w:val="22"/>
        </w:rPr>
        <w:fldChar w:fldCharType="end"/>
      </w:r>
    </w:p>
    <w:p w:rsidR="00684591" w:rsidRPr="00CA472B" w:rsidRDefault="00684591" w:rsidP="00CA472B">
      <w:pPr>
        <w:pStyle w:val="TOC3"/>
        <w:rPr>
          <w:rFonts w:asciiTheme="minorHAnsi" w:eastAsiaTheme="minorEastAsia" w:hAnsiTheme="minorHAnsi" w:cstheme="minorBidi"/>
          <w:noProof/>
        </w:rPr>
      </w:pPr>
      <w:r w:rsidRPr="00CA472B">
        <w:rPr>
          <w:rFonts w:asciiTheme="minorHAnsi" w:hAnsiTheme="minorHAnsi"/>
          <w:noProof/>
        </w:rPr>
        <w:t>2.1.1</w:t>
      </w:r>
      <w:r w:rsidRPr="00CA472B">
        <w:rPr>
          <w:rFonts w:asciiTheme="minorHAnsi" w:eastAsiaTheme="minorEastAsia" w:hAnsiTheme="minorHAnsi" w:cstheme="minorBidi"/>
          <w:noProof/>
        </w:rPr>
        <w:tab/>
      </w:r>
      <w:r w:rsidRPr="00CA472B">
        <w:rPr>
          <w:rFonts w:asciiTheme="minorHAnsi" w:hAnsiTheme="minorHAnsi"/>
          <w:noProof/>
        </w:rPr>
        <w:t xml:space="preserve"> Federal Standards</w:t>
      </w:r>
      <w:r w:rsidRPr="00CA472B">
        <w:rPr>
          <w:rFonts w:asciiTheme="minorHAnsi" w:hAnsiTheme="minorHAnsi"/>
          <w:noProof/>
        </w:rPr>
        <w:tab/>
      </w:r>
      <w:r w:rsidRPr="00CA472B">
        <w:rPr>
          <w:rFonts w:asciiTheme="minorHAnsi" w:hAnsiTheme="minorHAnsi"/>
          <w:noProof/>
        </w:rPr>
        <w:fldChar w:fldCharType="begin"/>
      </w:r>
      <w:r w:rsidRPr="00CA472B">
        <w:rPr>
          <w:rFonts w:asciiTheme="minorHAnsi" w:hAnsiTheme="minorHAnsi"/>
          <w:noProof/>
        </w:rPr>
        <w:instrText xml:space="preserve"> PAGEREF _Toc461027082 \h </w:instrText>
      </w:r>
      <w:r w:rsidRPr="00CA472B">
        <w:rPr>
          <w:rFonts w:asciiTheme="minorHAnsi" w:hAnsiTheme="minorHAnsi"/>
          <w:noProof/>
        </w:rPr>
      </w:r>
      <w:r w:rsidRPr="00CA472B">
        <w:rPr>
          <w:rFonts w:asciiTheme="minorHAnsi" w:hAnsiTheme="minorHAnsi"/>
          <w:noProof/>
        </w:rPr>
        <w:fldChar w:fldCharType="separate"/>
      </w:r>
      <w:r w:rsidR="00FF69F8">
        <w:rPr>
          <w:rFonts w:asciiTheme="minorHAnsi" w:hAnsiTheme="minorHAnsi"/>
          <w:noProof/>
        </w:rPr>
        <w:t>9</w:t>
      </w:r>
      <w:r w:rsidRPr="00CA472B">
        <w:rPr>
          <w:rFonts w:asciiTheme="minorHAnsi" w:hAnsiTheme="minorHAnsi"/>
          <w:noProof/>
        </w:rPr>
        <w:fldChar w:fldCharType="end"/>
      </w:r>
    </w:p>
    <w:p w:rsidR="00684591" w:rsidRPr="00CA472B" w:rsidRDefault="00684591" w:rsidP="00CA472B">
      <w:pPr>
        <w:pStyle w:val="TOC3"/>
        <w:rPr>
          <w:rFonts w:asciiTheme="minorHAnsi" w:eastAsiaTheme="minorEastAsia" w:hAnsiTheme="minorHAnsi" w:cstheme="minorBidi"/>
          <w:noProof/>
        </w:rPr>
      </w:pPr>
      <w:r w:rsidRPr="00CA472B">
        <w:rPr>
          <w:rFonts w:asciiTheme="minorHAnsi" w:hAnsiTheme="minorHAnsi"/>
          <w:noProof/>
        </w:rPr>
        <w:t>2.1.2</w:t>
      </w:r>
      <w:r w:rsidRPr="00CA472B">
        <w:rPr>
          <w:rFonts w:asciiTheme="minorHAnsi" w:eastAsiaTheme="minorEastAsia" w:hAnsiTheme="minorHAnsi" w:cstheme="minorBidi"/>
          <w:noProof/>
        </w:rPr>
        <w:tab/>
      </w:r>
      <w:r w:rsidRPr="00CA472B">
        <w:rPr>
          <w:rFonts w:asciiTheme="minorHAnsi" w:hAnsiTheme="minorHAnsi"/>
          <w:noProof/>
        </w:rPr>
        <w:t xml:space="preserve"> OTC Measure</w:t>
      </w:r>
      <w:r w:rsidRPr="00CA472B">
        <w:rPr>
          <w:rFonts w:asciiTheme="minorHAnsi" w:hAnsiTheme="minorHAnsi"/>
          <w:noProof/>
        </w:rPr>
        <w:tab/>
      </w:r>
      <w:r w:rsidRPr="00CA472B">
        <w:rPr>
          <w:rFonts w:asciiTheme="minorHAnsi" w:hAnsiTheme="minorHAnsi"/>
          <w:noProof/>
        </w:rPr>
        <w:fldChar w:fldCharType="begin"/>
      </w:r>
      <w:r w:rsidRPr="00CA472B">
        <w:rPr>
          <w:rFonts w:asciiTheme="minorHAnsi" w:hAnsiTheme="minorHAnsi"/>
          <w:noProof/>
        </w:rPr>
        <w:instrText xml:space="preserve"> PAGEREF _Toc461027083 \h </w:instrText>
      </w:r>
      <w:r w:rsidRPr="00CA472B">
        <w:rPr>
          <w:rFonts w:asciiTheme="minorHAnsi" w:hAnsiTheme="minorHAnsi"/>
          <w:noProof/>
        </w:rPr>
      </w:r>
      <w:r w:rsidRPr="00CA472B">
        <w:rPr>
          <w:rFonts w:asciiTheme="minorHAnsi" w:hAnsiTheme="minorHAnsi"/>
          <w:noProof/>
        </w:rPr>
        <w:fldChar w:fldCharType="separate"/>
      </w:r>
      <w:r w:rsidR="00FF69F8">
        <w:rPr>
          <w:rFonts w:asciiTheme="minorHAnsi" w:hAnsiTheme="minorHAnsi"/>
          <w:noProof/>
        </w:rPr>
        <w:t>9</w:t>
      </w:r>
      <w:r w:rsidRPr="00CA472B">
        <w:rPr>
          <w:rFonts w:asciiTheme="minorHAnsi" w:hAnsiTheme="minorHAnsi"/>
          <w:noProof/>
        </w:rPr>
        <w:fldChar w:fldCharType="end"/>
      </w:r>
    </w:p>
    <w:p w:rsidR="00684591" w:rsidRPr="00CA472B" w:rsidRDefault="00684591" w:rsidP="00CA472B">
      <w:pPr>
        <w:pStyle w:val="TOC3"/>
        <w:rPr>
          <w:rFonts w:asciiTheme="minorHAnsi" w:eastAsiaTheme="minorEastAsia" w:hAnsiTheme="minorHAnsi" w:cstheme="minorBidi"/>
          <w:noProof/>
        </w:rPr>
      </w:pPr>
      <w:r w:rsidRPr="00CA472B">
        <w:rPr>
          <w:rFonts w:asciiTheme="minorHAnsi" w:hAnsiTheme="minorHAnsi"/>
          <w:noProof/>
        </w:rPr>
        <w:t>2.1.3</w:t>
      </w:r>
      <w:r w:rsidRPr="00CA472B">
        <w:rPr>
          <w:rFonts w:asciiTheme="minorHAnsi" w:eastAsiaTheme="minorEastAsia" w:hAnsiTheme="minorHAnsi" w:cstheme="minorBidi"/>
          <w:noProof/>
        </w:rPr>
        <w:tab/>
      </w:r>
      <w:r w:rsidRPr="00CA472B">
        <w:rPr>
          <w:rFonts w:asciiTheme="minorHAnsi" w:hAnsiTheme="minorHAnsi"/>
          <w:noProof/>
        </w:rPr>
        <w:t xml:space="preserve"> Emissions Reduction Benefit</w:t>
      </w:r>
      <w:r w:rsidRPr="00CA472B">
        <w:rPr>
          <w:rFonts w:asciiTheme="minorHAnsi" w:hAnsiTheme="minorHAnsi"/>
          <w:noProof/>
        </w:rPr>
        <w:tab/>
      </w:r>
      <w:r w:rsidRPr="00CA472B">
        <w:rPr>
          <w:rFonts w:asciiTheme="minorHAnsi" w:hAnsiTheme="minorHAnsi"/>
          <w:noProof/>
        </w:rPr>
        <w:fldChar w:fldCharType="begin"/>
      </w:r>
      <w:r w:rsidRPr="00CA472B">
        <w:rPr>
          <w:rFonts w:asciiTheme="minorHAnsi" w:hAnsiTheme="minorHAnsi"/>
          <w:noProof/>
        </w:rPr>
        <w:instrText xml:space="preserve"> PAGEREF _Toc461027084 \h </w:instrText>
      </w:r>
      <w:r w:rsidRPr="00CA472B">
        <w:rPr>
          <w:rFonts w:asciiTheme="minorHAnsi" w:hAnsiTheme="minorHAnsi"/>
          <w:noProof/>
        </w:rPr>
      </w:r>
      <w:r w:rsidRPr="00CA472B">
        <w:rPr>
          <w:rFonts w:asciiTheme="minorHAnsi" w:hAnsiTheme="minorHAnsi"/>
          <w:noProof/>
        </w:rPr>
        <w:fldChar w:fldCharType="separate"/>
      </w:r>
      <w:r w:rsidR="00FF69F8">
        <w:rPr>
          <w:rFonts w:asciiTheme="minorHAnsi" w:hAnsiTheme="minorHAnsi"/>
          <w:noProof/>
        </w:rPr>
        <w:t>10</w:t>
      </w:r>
      <w:r w:rsidRPr="00CA472B">
        <w:rPr>
          <w:rFonts w:asciiTheme="minorHAnsi" w:hAnsiTheme="minorHAnsi"/>
          <w:noProof/>
        </w:rPr>
        <w:fldChar w:fldCharType="end"/>
      </w:r>
    </w:p>
    <w:p w:rsidR="00684591" w:rsidRPr="00CA472B" w:rsidRDefault="00684591" w:rsidP="00CA472B">
      <w:pPr>
        <w:pStyle w:val="TOC3"/>
        <w:rPr>
          <w:rFonts w:asciiTheme="minorHAnsi" w:eastAsiaTheme="minorEastAsia" w:hAnsiTheme="minorHAnsi" w:cstheme="minorBidi"/>
          <w:noProof/>
        </w:rPr>
      </w:pPr>
      <w:r w:rsidRPr="00CA472B">
        <w:rPr>
          <w:rFonts w:asciiTheme="minorHAnsi" w:hAnsiTheme="minorHAnsi"/>
          <w:noProof/>
        </w:rPr>
        <w:t>2.1.4</w:t>
      </w:r>
      <w:r w:rsidRPr="00CA472B">
        <w:rPr>
          <w:rFonts w:asciiTheme="minorHAnsi" w:eastAsiaTheme="minorEastAsia" w:hAnsiTheme="minorHAnsi" w:cstheme="minorBidi"/>
          <w:noProof/>
        </w:rPr>
        <w:tab/>
      </w:r>
      <w:r w:rsidRPr="00CA472B">
        <w:rPr>
          <w:rFonts w:asciiTheme="minorHAnsi" w:hAnsiTheme="minorHAnsi"/>
          <w:noProof/>
        </w:rPr>
        <w:t xml:space="preserve"> Control Cost Estimates</w:t>
      </w:r>
      <w:r w:rsidRPr="00CA472B">
        <w:rPr>
          <w:rFonts w:asciiTheme="minorHAnsi" w:hAnsiTheme="minorHAnsi"/>
          <w:noProof/>
        </w:rPr>
        <w:tab/>
      </w:r>
      <w:r w:rsidRPr="00CA472B">
        <w:rPr>
          <w:rFonts w:asciiTheme="minorHAnsi" w:hAnsiTheme="minorHAnsi"/>
          <w:noProof/>
        </w:rPr>
        <w:fldChar w:fldCharType="begin"/>
      </w:r>
      <w:r w:rsidRPr="00CA472B">
        <w:rPr>
          <w:rFonts w:asciiTheme="minorHAnsi" w:hAnsiTheme="minorHAnsi"/>
          <w:noProof/>
        </w:rPr>
        <w:instrText xml:space="preserve"> PAGEREF _Toc461027085 \h </w:instrText>
      </w:r>
      <w:r w:rsidRPr="00CA472B">
        <w:rPr>
          <w:rFonts w:asciiTheme="minorHAnsi" w:hAnsiTheme="minorHAnsi"/>
          <w:noProof/>
        </w:rPr>
      </w:r>
      <w:r w:rsidRPr="00CA472B">
        <w:rPr>
          <w:rFonts w:asciiTheme="minorHAnsi" w:hAnsiTheme="minorHAnsi"/>
          <w:noProof/>
        </w:rPr>
        <w:fldChar w:fldCharType="separate"/>
      </w:r>
      <w:r w:rsidR="00FF69F8">
        <w:rPr>
          <w:rFonts w:asciiTheme="minorHAnsi" w:hAnsiTheme="minorHAnsi"/>
          <w:noProof/>
        </w:rPr>
        <w:t>10</w:t>
      </w:r>
      <w:r w:rsidRPr="00CA472B">
        <w:rPr>
          <w:rFonts w:asciiTheme="minorHAnsi" w:hAnsiTheme="minorHAnsi"/>
          <w:noProof/>
        </w:rPr>
        <w:fldChar w:fldCharType="end"/>
      </w:r>
    </w:p>
    <w:p w:rsidR="00684591" w:rsidRPr="00CA472B" w:rsidRDefault="00684591" w:rsidP="00CA472B">
      <w:pPr>
        <w:pStyle w:val="TOC3"/>
        <w:rPr>
          <w:rFonts w:asciiTheme="minorHAnsi" w:eastAsiaTheme="minorEastAsia" w:hAnsiTheme="minorHAnsi" w:cstheme="minorBidi"/>
          <w:noProof/>
        </w:rPr>
      </w:pPr>
      <w:r w:rsidRPr="00CA472B">
        <w:rPr>
          <w:rFonts w:asciiTheme="minorHAnsi" w:hAnsiTheme="minorHAnsi"/>
          <w:noProof/>
        </w:rPr>
        <w:t>2.1.5</w:t>
      </w:r>
      <w:r w:rsidRPr="00CA472B">
        <w:rPr>
          <w:rFonts w:asciiTheme="minorHAnsi" w:eastAsiaTheme="minorEastAsia" w:hAnsiTheme="minorHAnsi" w:cstheme="minorBidi"/>
          <w:noProof/>
        </w:rPr>
        <w:tab/>
      </w:r>
      <w:r w:rsidRPr="00CA472B">
        <w:rPr>
          <w:rFonts w:asciiTheme="minorHAnsi" w:hAnsiTheme="minorHAnsi"/>
          <w:noProof/>
        </w:rPr>
        <w:t xml:space="preserve"> Emissions Reduction Benefits for Other Pollutants</w:t>
      </w:r>
      <w:r w:rsidRPr="00CA472B">
        <w:rPr>
          <w:rFonts w:asciiTheme="minorHAnsi" w:hAnsiTheme="minorHAnsi"/>
          <w:noProof/>
        </w:rPr>
        <w:tab/>
      </w:r>
      <w:r w:rsidRPr="00CA472B">
        <w:rPr>
          <w:rFonts w:asciiTheme="minorHAnsi" w:hAnsiTheme="minorHAnsi"/>
          <w:noProof/>
        </w:rPr>
        <w:fldChar w:fldCharType="begin"/>
      </w:r>
      <w:r w:rsidRPr="00CA472B">
        <w:rPr>
          <w:rFonts w:asciiTheme="minorHAnsi" w:hAnsiTheme="minorHAnsi"/>
          <w:noProof/>
        </w:rPr>
        <w:instrText xml:space="preserve"> PAGEREF _Toc461027086 \h </w:instrText>
      </w:r>
      <w:r w:rsidRPr="00CA472B">
        <w:rPr>
          <w:rFonts w:asciiTheme="minorHAnsi" w:hAnsiTheme="minorHAnsi"/>
          <w:noProof/>
        </w:rPr>
      </w:r>
      <w:r w:rsidRPr="00CA472B">
        <w:rPr>
          <w:rFonts w:asciiTheme="minorHAnsi" w:hAnsiTheme="minorHAnsi"/>
          <w:noProof/>
        </w:rPr>
        <w:fldChar w:fldCharType="separate"/>
      </w:r>
      <w:r w:rsidR="00FF69F8">
        <w:rPr>
          <w:rFonts w:asciiTheme="minorHAnsi" w:hAnsiTheme="minorHAnsi"/>
          <w:noProof/>
        </w:rPr>
        <w:t>12</w:t>
      </w:r>
      <w:r w:rsidRPr="00CA472B">
        <w:rPr>
          <w:rFonts w:asciiTheme="minorHAnsi" w:hAnsiTheme="minorHAnsi"/>
          <w:noProof/>
        </w:rPr>
        <w:fldChar w:fldCharType="end"/>
      </w:r>
    </w:p>
    <w:p w:rsidR="00684591" w:rsidRPr="00CA472B" w:rsidRDefault="00684591">
      <w:pPr>
        <w:pStyle w:val="TOC2"/>
        <w:tabs>
          <w:tab w:val="left" w:pos="880"/>
          <w:tab w:val="right" w:leader="dot" w:pos="9350"/>
        </w:tabs>
        <w:rPr>
          <w:rFonts w:asciiTheme="minorHAnsi" w:eastAsiaTheme="minorEastAsia" w:hAnsiTheme="minorHAnsi" w:cstheme="minorBidi"/>
          <w:noProof/>
          <w:sz w:val="22"/>
          <w:szCs w:val="22"/>
        </w:rPr>
      </w:pPr>
      <w:r w:rsidRPr="00CA472B">
        <w:rPr>
          <w:rFonts w:asciiTheme="minorHAnsi" w:hAnsiTheme="minorHAnsi"/>
          <w:noProof/>
          <w:sz w:val="22"/>
          <w:szCs w:val="22"/>
        </w:rPr>
        <w:t>2.2</w:t>
      </w:r>
      <w:r w:rsidRPr="00CA472B">
        <w:rPr>
          <w:rFonts w:asciiTheme="minorHAnsi" w:eastAsiaTheme="minorEastAsia" w:hAnsiTheme="minorHAnsi" w:cstheme="minorBidi"/>
          <w:noProof/>
          <w:sz w:val="22"/>
          <w:szCs w:val="22"/>
        </w:rPr>
        <w:tab/>
      </w:r>
      <w:r w:rsidRPr="00CA472B">
        <w:rPr>
          <w:rFonts w:asciiTheme="minorHAnsi" w:hAnsiTheme="minorHAnsi"/>
          <w:noProof/>
          <w:sz w:val="22"/>
          <w:szCs w:val="22"/>
        </w:rPr>
        <w:t>Consumer Products</w:t>
      </w:r>
      <w:r w:rsidRPr="00CA472B">
        <w:rPr>
          <w:rFonts w:asciiTheme="minorHAnsi" w:hAnsiTheme="minorHAnsi"/>
          <w:noProof/>
          <w:sz w:val="22"/>
          <w:szCs w:val="22"/>
        </w:rPr>
        <w:tab/>
      </w:r>
      <w:r w:rsidRPr="00CA472B">
        <w:rPr>
          <w:rFonts w:asciiTheme="minorHAnsi" w:hAnsiTheme="minorHAnsi"/>
          <w:noProof/>
          <w:sz w:val="22"/>
          <w:szCs w:val="22"/>
        </w:rPr>
        <w:fldChar w:fldCharType="begin"/>
      </w:r>
      <w:r w:rsidRPr="00CA472B">
        <w:rPr>
          <w:rFonts w:asciiTheme="minorHAnsi" w:hAnsiTheme="minorHAnsi"/>
          <w:noProof/>
          <w:sz w:val="22"/>
          <w:szCs w:val="22"/>
        </w:rPr>
        <w:instrText xml:space="preserve"> PAGEREF _Toc461027087 \h </w:instrText>
      </w:r>
      <w:r w:rsidRPr="00CA472B">
        <w:rPr>
          <w:rFonts w:asciiTheme="minorHAnsi" w:hAnsiTheme="minorHAnsi"/>
          <w:noProof/>
          <w:sz w:val="22"/>
          <w:szCs w:val="22"/>
        </w:rPr>
      </w:r>
      <w:r w:rsidRPr="00CA472B">
        <w:rPr>
          <w:rFonts w:asciiTheme="minorHAnsi" w:hAnsiTheme="minorHAnsi"/>
          <w:noProof/>
          <w:sz w:val="22"/>
          <w:szCs w:val="22"/>
        </w:rPr>
        <w:fldChar w:fldCharType="separate"/>
      </w:r>
      <w:r w:rsidR="00FF69F8">
        <w:rPr>
          <w:rFonts w:asciiTheme="minorHAnsi" w:hAnsiTheme="minorHAnsi"/>
          <w:noProof/>
          <w:sz w:val="22"/>
          <w:szCs w:val="22"/>
        </w:rPr>
        <w:t>12</w:t>
      </w:r>
      <w:r w:rsidRPr="00CA472B">
        <w:rPr>
          <w:rFonts w:asciiTheme="minorHAnsi" w:hAnsiTheme="minorHAnsi"/>
          <w:noProof/>
          <w:sz w:val="22"/>
          <w:szCs w:val="22"/>
        </w:rPr>
        <w:fldChar w:fldCharType="end"/>
      </w:r>
    </w:p>
    <w:p w:rsidR="00684591" w:rsidRPr="00CA472B" w:rsidRDefault="00684591" w:rsidP="00CA472B">
      <w:pPr>
        <w:pStyle w:val="TOC3"/>
        <w:rPr>
          <w:rFonts w:asciiTheme="minorHAnsi" w:eastAsiaTheme="minorEastAsia" w:hAnsiTheme="minorHAnsi" w:cstheme="minorBidi"/>
          <w:noProof/>
        </w:rPr>
      </w:pPr>
      <w:r w:rsidRPr="00CA472B">
        <w:rPr>
          <w:rFonts w:asciiTheme="minorHAnsi" w:hAnsiTheme="minorHAnsi"/>
          <w:noProof/>
        </w:rPr>
        <w:t>2.2.1</w:t>
      </w:r>
      <w:r w:rsidRPr="00CA472B">
        <w:rPr>
          <w:rFonts w:asciiTheme="minorHAnsi" w:eastAsiaTheme="minorEastAsia" w:hAnsiTheme="minorHAnsi" w:cstheme="minorBidi"/>
          <w:noProof/>
        </w:rPr>
        <w:tab/>
      </w:r>
      <w:r w:rsidRPr="00CA472B">
        <w:rPr>
          <w:rFonts w:asciiTheme="minorHAnsi" w:hAnsiTheme="minorHAnsi"/>
          <w:noProof/>
        </w:rPr>
        <w:t xml:space="preserve"> Federal Standards</w:t>
      </w:r>
      <w:r w:rsidRPr="00CA472B">
        <w:rPr>
          <w:rFonts w:asciiTheme="minorHAnsi" w:hAnsiTheme="minorHAnsi"/>
          <w:noProof/>
        </w:rPr>
        <w:tab/>
      </w:r>
      <w:r w:rsidRPr="00CA472B">
        <w:rPr>
          <w:rFonts w:asciiTheme="minorHAnsi" w:hAnsiTheme="minorHAnsi"/>
          <w:noProof/>
        </w:rPr>
        <w:fldChar w:fldCharType="begin"/>
      </w:r>
      <w:r w:rsidRPr="00CA472B">
        <w:rPr>
          <w:rFonts w:asciiTheme="minorHAnsi" w:hAnsiTheme="minorHAnsi"/>
          <w:noProof/>
        </w:rPr>
        <w:instrText xml:space="preserve"> PAGEREF _Toc461027088 \h </w:instrText>
      </w:r>
      <w:r w:rsidRPr="00CA472B">
        <w:rPr>
          <w:rFonts w:asciiTheme="minorHAnsi" w:hAnsiTheme="minorHAnsi"/>
          <w:noProof/>
        </w:rPr>
      </w:r>
      <w:r w:rsidRPr="00CA472B">
        <w:rPr>
          <w:rFonts w:asciiTheme="minorHAnsi" w:hAnsiTheme="minorHAnsi"/>
          <w:noProof/>
        </w:rPr>
        <w:fldChar w:fldCharType="separate"/>
      </w:r>
      <w:r w:rsidR="00FF69F8">
        <w:rPr>
          <w:rFonts w:asciiTheme="minorHAnsi" w:hAnsiTheme="minorHAnsi"/>
          <w:noProof/>
        </w:rPr>
        <w:t>12</w:t>
      </w:r>
      <w:r w:rsidRPr="00CA472B">
        <w:rPr>
          <w:rFonts w:asciiTheme="minorHAnsi" w:hAnsiTheme="minorHAnsi"/>
          <w:noProof/>
        </w:rPr>
        <w:fldChar w:fldCharType="end"/>
      </w:r>
    </w:p>
    <w:p w:rsidR="00684591" w:rsidRPr="00CA472B" w:rsidRDefault="00684591" w:rsidP="00CA472B">
      <w:pPr>
        <w:pStyle w:val="TOC3"/>
        <w:rPr>
          <w:rFonts w:asciiTheme="minorHAnsi" w:eastAsiaTheme="minorEastAsia" w:hAnsiTheme="minorHAnsi" w:cstheme="minorBidi"/>
          <w:noProof/>
        </w:rPr>
      </w:pPr>
      <w:r w:rsidRPr="00CA472B">
        <w:rPr>
          <w:rFonts w:asciiTheme="minorHAnsi" w:hAnsiTheme="minorHAnsi"/>
          <w:noProof/>
        </w:rPr>
        <w:t>2.2.2</w:t>
      </w:r>
      <w:r w:rsidRPr="00CA472B">
        <w:rPr>
          <w:rFonts w:asciiTheme="minorHAnsi" w:eastAsiaTheme="minorEastAsia" w:hAnsiTheme="minorHAnsi" w:cstheme="minorBidi"/>
          <w:noProof/>
        </w:rPr>
        <w:tab/>
      </w:r>
      <w:r w:rsidRPr="00CA472B">
        <w:rPr>
          <w:rFonts w:asciiTheme="minorHAnsi" w:hAnsiTheme="minorHAnsi"/>
          <w:noProof/>
        </w:rPr>
        <w:t xml:space="preserve"> OTC Model Rule</w:t>
      </w:r>
      <w:r w:rsidRPr="00CA472B">
        <w:rPr>
          <w:rFonts w:asciiTheme="minorHAnsi" w:hAnsiTheme="minorHAnsi"/>
          <w:noProof/>
        </w:rPr>
        <w:tab/>
      </w:r>
      <w:r w:rsidRPr="00CA472B">
        <w:rPr>
          <w:rFonts w:asciiTheme="minorHAnsi" w:hAnsiTheme="minorHAnsi"/>
          <w:noProof/>
        </w:rPr>
        <w:fldChar w:fldCharType="begin"/>
      </w:r>
      <w:r w:rsidRPr="00CA472B">
        <w:rPr>
          <w:rFonts w:asciiTheme="minorHAnsi" w:hAnsiTheme="minorHAnsi"/>
          <w:noProof/>
        </w:rPr>
        <w:instrText xml:space="preserve"> PAGEREF _Toc461027089 \h </w:instrText>
      </w:r>
      <w:r w:rsidRPr="00CA472B">
        <w:rPr>
          <w:rFonts w:asciiTheme="minorHAnsi" w:hAnsiTheme="minorHAnsi"/>
          <w:noProof/>
        </w:rPr>
      </w:r>
      <w:r w:rsidRPr="00CA472B">
        <w:rPr>
          <w:rFonts w:asciiTheme="minorHAnsi" w:hAnsiTheme="minorHAnsi"/>
          <w:noProof/>
        </w:rPr>
        <w:fldChar w:fldCharType="separate"/>
      </w:r>
      <w:r w:rsidR="00FF69F8">
        <w:rPr>
          <w:rFonts w:asciiTheme="minorHAnsi" w:hAnsiTheme="minorHAnsi"/>
          <w:noProof/>
        </w:rPr>
        <w:t>12</w:t>
      </w:r>
      <w:r w:rsidRPr="00CA472B">
        <w:rPr>
          <w:rFonts w:asciiTheme="minorHAnsi" w:hAnsiTheme="minorHAnsi"/>
          <w:noProof/>
        </w:rPr>
        <w:fldChar w:fldCharType="end"/>
      </w:r>
    </w:p>
    <w:p w:rsidR="00684591" w:rsidRPr="00CA472B" w:rsidRDefault="00684591" w:rsidP="00CA472B">
      <w:pPr>
        <w:pStyle w:val="TOC3"/>
        <w:rPr>
          <w:rFonts w:asciiTheme="minorHAnsi" w:eastAsiaTheme="minorEastAsia" w:hAnsiTheme="minorHAnsi" w:cstheme="minorBidi"/>
          <w:noProof/>
        </w:rPr>
      </w:pPr>
      <w:r w:rsidRPr="00CA472B">
        <w:rPr>
          <w:rFonts w:asciiTheme="minorHAnsi" w:hAnsiTheme="minorHAnsi"/>
          <w:noProof/>
        </w:rPr>
        <w:t>2.2.3</w:t>
      </w:r>
      <w:r w:rsidRPr="00CA472B">
        <w:rPr>
          <w:rFonts w:asciiTheme="minorHAnsi" w:eastAsiaTheme="minorEastAsia" w:hAnsiTheme="minorHAnsi" w:cstheme="minorBidi"/>
          <w:noProof/>
        </w:rPr>
        <w:tab/>
      </w:r>
      <w:r w:rsidRPr="00CA472B">
        <w:rPr>
          <w:rFonts w:asciiTheme="minorHAnsi" w:hAnsiTheme="minorHAnsi"/>
          <w:noProof/>
        </w:rPr>
        <w:t xml:space="preserve"> Emissions Reduction Benefit</w:t>
      </w:r>
      <w:r w:rsidRPr="00CA472B">
        <w:rPr>
          <w:rFonts w:asciiTheme="minorHAnsi" w:hAnsiTheme="minorHAnsi"/>
          <w:noProof/>
        </w:rPr>
        <w:tab/>
      </w:r>
      <w:r w:rsidRPr="00CA472B">
        <w:rPr>
          <w:rFonts w:asciiTheme="minorHAnsi" w:hAnsiTheme="minorHAnsi"/>
          <w:noProof/>
        </w:rPr>
        <w:fldChar w:fldCharType="begin"/>
      </w:r>
      <w:r w:rsidRPr="00CA472B">
        <w:rPr>
          <w:rFonts w:asciiTheme="minorHAnsi" w:hAnsiTheme="minorHAnsi"/>
          <w:noProof/>
        </w:rPr>
        <w:instrText xml:space="preserve"> PAGEREF _Toc461027090 \h </w:instrText>
      </w:r>
      <w:r w:rsidRPr="00CA472B">
        <w:rPr>
          <w:rFonts w:asciiTheme="minorHAnsi" w:hAnsiTheme="minorHAnsi"/>
          <w:noProof/>
        </w:rPr>
      </w:r>
      <w:r w:rsidRPr="00CA472B">
        <w:rPr>
          <w:rFonts w:asciiTheme="minorHAnsi" w:hAnsiTheme="minorHAnsi"/>
          <w:noProof/>
        </w:rPr>
        <w:fldChar w:fldCharType="separate"/>
      </w:r>
      <w:r w:rsidR="00FF69F8">
        <w:rPr>
          <w:rFonts w:asciiTheme="minorHAnsi" w:hAnsiTheme="minorHAnsi"/>
          <w:noProof/>
        </w:rPr>
        <w:t>14</w:t>
      </w:r>
      <w:r w:rsidRPr="00CA472B">
        <w:rPr>
          <w:rFonts w:asciiTheme="minorHAnsi" w:hAnsiTheme="minorHAnsi"/>
          <w:noProof/>
        </w:rPr>
        <w:fldChar w:fldCharType="end"/>
      </w:r>
    </w:p>
    <w:p w:rsidR="00684591" w:rsidRPr="00CA472B" w:rsidRDefault="00684591" w:rsidP="00CA472B">
      <w:pPr>
        <w:pStyle w:val="TOC3"/>
        <w:rPr>
          <w:rFonts w:asciiTheme="minorHAnsi" w:eastAsiaTheme="minorEastAsia" w:hAnsiTheme="minorHAnsi" w:cstheme="minorBidi"/>
          <w:noProof/>
        </w:rPr>
      </w:pPr>
      <w:r w:rsidRPr="00CA472B">
        <w:rPr>
          <w:rFonts w:asciiTheme="minorHAnsi" w:hAnsiTheme="minorHAnsi"/>
          <w:noProof/>
        </w:rPr>
        <w:t>2.2.3</w:t>
      </w:r>
      <w:r w:rsidRPr="00CA472B">
        <w:rPr>
          <w:rFonts w:asciiTheme="minorHAnsi" w:eastAsiaTheme="minorEastAsia" w:hAnsiTheme="minorHAnsi" w:cstheme="minorBidi"/>
          <w:noProof/>
        </w:rPr>
        <w:tab/>
      </w:r>
      <w:r w:rsidRPr="00CA472B">
        <w:rPr>
          <w:rFonts w:asciiTheme="minorHAnsi" w:hAnsiTheme="minorHAnsi"/>
          <w:noProof/>
        </w:rPr>
        <w:t xml:space="preserve"> Control Cost Estimates</w:t>
      </w:r>
      <w:r w:rsidRPr="00CA472B">
        <w:rPr>
          <w:rFonts w:asciiTheme="minorHAnsi" w:hAnsiTheme="minorHAnsi"/>
          <w:noProof/>
        </w:rPr>
        <w:tab/>
      </w:r>
      <w:r w:rsidRPr="00CA472B">
        <w:rPr>
          <w:rFonts w:asciiTheme="minorHAnsi" w:hAnsiTheme="minorHAnsi"/>
          <w:noProof/>
        </w:rPr>
        <w:fldChar w:fldCharType="begin"/>
      </w:r>
      <w:r w:rsidRPr="00CA472B">
        <w:rPr>
          <w:rFonts w:asciiTheme="minorHAnsi" w:hAnsiTheme="minorHAnsi"/>
          <w:noProof/>
        </w:rPr>
        <w:instrText xml:space="preserve"> PAGEREF _Toc461027091 \h </w:instrText>
      </w:r>
      <w:r w:rsidRPr="00CA472B">
        <w:rPr>
          <w:rFonts w:asciiTheme="minorHAnsi" w:hAnsiTheme="minorHAnsi"/>
          <w:noProof/>
        </w:rPr>
      </w:r>
      <w:r w:rsidRPr="00CA472B">
        <w:rPr>
          <w:rFonts w:asciiTheme="minorHAnsi" w:hAnsiTheme="minorHAnsi"/>
          <w:noProof/>
        </w:rPr>
        <w:fldChar w:fldCharType="separate"/>
      </w:r>
      <w:r w:rsidR="00FF69F8">
        <w:rPr>
          <w:rFonts w:asciiTheme="minorHAnsi" w:hAnsiTheme="minorHAnsi"/>
          <w:noProof/>
        </w:rPr>
        <w:t>14</w:t>
      </w:r>
      <w:r w:rsidRPr="00CA472B">
        <w:rPr>
          <w:rFonts w:asciiTheme="minorHAnsi" w:hAnsiTheme="minorHAnsi"/>
          <w:noProof/>
        </w:rPr>
        <w:fldChar w:fldCharType="end"/>
      </w:r>
    </w:p>
    <w:p w:rsidR="00684591" w:rsidRPr="00CA472B" w:rsidRDefault="00684591" w:rsidP="00CA472B">
      <w:pPr>
        <w:pStyle w:val="TOC3"/>
        <w:rPr>
          <w:rFonts w:asciiTheme="minorHAnsi" w:eastAsiaTheme="minorEastAsia" w:hAnsiTheme="minorHAnsi" w:cstheme="minorBidi"/>
          <w:noProof/>
        </w:rPr>
      </w:pPr>
      <w:r w:rsidRPr="00CA472B">
        <w:rPr>
          <w:rFonts w:asciiTheme="minorHAnsi" w:hAnsiTheme="minorHAnsi"/>
          <w:noProof/>
        </w:rPr>
        <w:t>2.2.4</w:t>
      </w:r>
      <w:r w:rsidRPr="00CA472B">
        <w:rPr>
          <w:rFonts w:asciiTheme="minorHAnsi" w:eastAsiaTheme="minorEastAsia" w:hAnsiTheme="minorHAnsi" w:cstheme="minorBidi"/>
          <w:noProof/>
        </w:rPr>
        <w:tab/>
      </w:r>
      <w:r w:rsidRPr="00CA472B">
        <w:rPr>
          <w:rFonts w:asciiTheme="minorHAnsi" w:hAnsiTheme="minorHAnsi"/>
          <w:noProof/>
        </w:rPr>
        <w:t xml:space="preserve"> Emissions Reduction Benefits for Other Pollutants</w:t>
      </w:r>
      <w:r w:rsidRPr="00CA472B">
        <w:rPr>
          <w:rFonts w:asciiTheme="minorHAnsi" w:hAnsiTheme="minorHAnsi"/>
          <w:noProof/>
        </w:rPr>
        <w:tab/>
      </w:r>
      <w:r w:rsidRPr="00CA472B">
        <w:rPr>
          <w:rFonts w:asciiTheme="minorHAnsi" w:hAnsiTheme="minorHAnsi"/>
          <w:noProof/>
        </w:rPr>
        <w:fldChar w:fldCharType="begin"/>
      </w:r>
      <w:r w:rsidRPr="00CA472B">
        <w:rPr>
          <w:rFonts w:asciiTheme="minorHAnsi" w:hAnsiTheme="minorHAnsi"/>
          <w:noProof/>
        </w:rPr>
        <w:instrText xml:space="preserve"> PAGEREF _Toc461027092 \h </w:instrText>
      </w:r>
      <w:r w:rsidRPr="00CA472B">
        <w:rPr>
          <w:rFonts w:asciiTheme="minorHAnsi" w:hAnsiTheme="minorHAnsi"/>
          <w:noProof/>
        </w:rPr>
      </w:r>
      <w:r w:rsidRPr="00CA472B">
        <w:rPr>
          <w:rFonts w:asciiTheme="minorHAnsi" w:hAnsiTheme="minorHAnsi"/>
          <w:noProof/>
        </w:rPr>
        <w:fldChar w:fldCharType="separate"/>
      </w:r>
      <w:r w:rsidR="00FF69F8">
        <w:rPr>
          <w:rFonts w:asciiTheme="minorHAnsi" w:hAnsiTheme="minorHAnsi"/>
          <w:noProof/>
        </w:rPr>
        <w:t>15</w:t>
      </w:r>
      <w:r w:rsidRPr="00CA472B">
        <w:rPr>
          <w:rFonts w:asciiTheme="minorHAnsi" w:hAnsiTheme="minorHAnsi"/>
          <w:noProof/>
        </w:rPr>
        <w:fldChar w:fldCharType="end"/>
      </w:r>
    </w:p>
    <w:p w:rsidR="00684591" w:rsidRPr="00CA472B" w:rsidRDefault="00684591">
      <w:pPr>
        <w:pStyle w:val="TOC2"/>
        <w:tabs>
          <w:tab w:val="left" w:pos="880"/>
          <w:tab w:val="right" w:leader="dot" w:pos="9350"/>
        </w:tabs>
        <w:rPr>
          <w:rFonts w:asciiTheme="minorHAnsi" w:eastAsiaTheme="minorEastAsia" w:hAnsiTheme="minorHAnsi" w:cstheme="minorBidi"/>
          <w:noProof/>
          <w:sz w:val="22"/>
          <w:szCs w:val="22"/>
        </w:rPr>
      </w:pPr>
      <w:r w:rsidRPr="00CA472B">
        <w:rPr>
          <w:rFonts w:asciiTheme="minorHAnsi" w:hAnsiTheme="minorHAnsi"/>
          <w:noProof/>
          <w:sz w:val="22"/>
          <w:szCs w:val="22"/>
        </w:rPr>
        <w:t>2.3</w:t>
      </w:r>
      <w:r w:rsidRPr="00CA472B">
        <w:rPr>
          <w:rFonts w:asciiTheme="minorHAnsi" w:eastAsiaTheme="minorEastAsia" w:hAnsiTheme="minorHAnsi" w:cstheme="minorBidi"/>
          <w:noProof/>
          <w:sz w:val="22"/>
          <w:szCs w:val="22"/>
        </w:rPr>
        <w:tab/>
      </w:r>
      <w:r w:rsidRPr="00CA472B">
        <w:rPr>
          <w:rFonts w:asciiTheme="minorHAnsi" w:hAnsiTheme="minorHAnsi"/>
          <w:noProof/>
          <w:sz w:val="22"/>
          <w:szCs w:val="22"/>
        </w:rPr>
        <w:t>Motor Vehicle and Mobile Equipment Non-assembly Line Coating Operations</w:t>
      </w:r>
      <w:r w:rsidRPr="00CA472B">
        <w:rPr>
          <w:rFonts w:asciiTheme="minorHAnsi" w:hAnsiTheme="minorHAnsi"/>
          <w:noProof/>
          <w:sz w:val="22"/>
          <w:szCs w:val="22"/>
        </w:rPr>
        <w:tab/>
      </w:r>
      <w:r w:rsidRPr="00CA472B">
        <w:rPr>
          <w:rFonts w:asciiTheme="minorHAnsi" w:hAnsiTheme="minorHAnsi"/>
          <w:noProof/>
          <w:sz w:val="22"/>
          <w:szCs w:val="22"/>
        </w:rPr>
        <w:fldChar w:fldCharType="begin"/>
      </w:r>
      <w:r w:rsidRPr="00CA472B">
        <w:rPr>
          <w:rFonts w:asciiTheme="minorHAnsi" w:hAnsiTheme="minorHAnsi"/>
          <w:noProof/>
          <w:sz w:val="22"/>
          <w:szCs w:val="22"/>
        </w:rPr>
        <w:instrText xml:space="preserve"> PAGEREF _Toc461027093 \h </w:instrText>
      </w:r>
      <w:r w:rsidRPr="00CA472B">
        <w:rPr>
          <w:rFonts w:asciiTheme="minorHAnsi" w:hAnsiTheme="minorHAnsi"/>
          <w:noProof/>
          <w:sz w:val="22"/>
          <w:szCs w:val="22"/>
        </w:rPr>
      </w:r>
      <w:r w:rsidRPr="00CA472B">
        <w:rPr>
          <w:rFonts w:asciiTheme="minorHAnsi" w:hAnsiTheme="minorHAnsi"/>
          <w:noProof/>
          <w:sz w:val="22"/>
          <w:szCs w:val="22"/>
        </w:rPr>
        <w:fldChar w:fldCharType="separate"/>
      </w:r>
      <w:r w:rsidR="00FF69F8">
        <w:rPr>
          <w:rFonts w:asciiTheme="minorHAnsi" w:hAnsiTheme="minorHAnsi"/>
          <w:noProof/>
          <w:sz w:val="22"/>
          <w:szCs w:val="22"/>
        </w:rPr>
        <w:t>15</w:t>
      </w:r>
      <w:r w:rsidRPr="00CA472B">
        <w:rPr>
          <w:rFonts w:asciiTheme="minorHAnsi" w:hAnsiTheme="minorHAnsi"/>
          <w:noProof/>
          <w:sz w:val="22"/>
          <w:szCs w:val="22"/>
        </w:rPr>
        <w:fldChar w:fldCharType="end"/>
      </w:r>
    </w:p>
    <w:p w:rsidR="00684591" w:rsidRPr="00CA472B" w:rsidRDefault="00684591" w:rsidP="00CA472B">
      <w:pPr>
        <w:pStyle w:val="TOC3"/>
        <w:rPr>
          <w:rFonts w:asciiTheme="minorHAnsi" w:eastAsiaTheme="minorEastAsia" w:hAnsiTheme="minorHAnsi" w:cstheme="minorBidi"/>
          <w:noProof/>
        </w:rPr>
      </w:pPr>
      <w:r w:rsidRPr="00CA472B">
        <w:rPr>
          <w:rFonts w:asciiTheme="minorHAnsi" w:hAnsiTheme="minorHAnsi"/>
          <w:noProof/>
        </w:rPr>
        <w:t>2.3.1</w:t>
      </w:r>
      <w:r w:rsidRPr="00CA472B">
        <w:rPr>
          <w:rFonts w:asciiTheme="minorHAnsi" w:eastAsiaTheme="minorEastAsia" w:hAnsiTheme="minorHAnsi" w:cstheme="minorBidi"/>
          <w:noProof/>
        </w:rPr>
        <w:tab/>
      </w:r>
      <w:r w:rsidRPr="00CA472B">
        <w:rPr>
          <w:rFonts w:asciiTheme="minorHAnsi" w:hAnsiTheme="minorHAnsi"/>
          <w:noProof/>
        </w:rPr>
        <w:t xml:space="preserve"> Federal Standards</w:t>
      </w:r>
      <w:r w:rsidRPr="00CA472B">
        <w:rPr>
          <w:rFonts w:asciiTheme="minorHAnsi" w:hAnsiTheme="minorHAnsi"/>
          <w:noProof/>
        </w:rPr>
        <w:tab/>
      </w:r>
      <w:r w:rsidRPr="00CA472B">
        <w:rPr>
          <w:rFonts w:asciiTheme="minorHAnsi" w:hAnsiTheme="minorHAnsi"/>
          <w:noProof/>
        </w:rPr>
        <w:fldChar w:fldCharType="begin"/>
      </w:r>
      <w:r w:rsidRPr="00CA472B">
        <w:rPr>
          <w:rFonts w:asciiTheme="minorHAnsi" w:hAnsiTheme="minorHAnsi"/>
          <w:noProof/>
        </w:rPr>
        <w:instrText xml:space="preserve"> PAGEREF _Toc461027094 \h </w:instrText>
      </w:r>
      <w:r w:rsidRPr="00CA472B">
        <w:rPr>
          <w:rFonts w:asciiTheme="minorHAnsi" w:hAnsiTheme="minorHAnsi"/>
          <w:noProof/>
        </w:rPr>
      </w:r>
      <w:r w:rsidRPr="00CA472B">
        <w:rPr>
          <w:rFonts w:asciiTheme="minorHAnsi" w:hAnsiTheme="minorHAnsi"/>
          <w:noProof/>
        </w:rPr>
        <w:fldChar w:fldCharType="separate"/>
      </w:r>
      <w:r w:rsidR="00FF69F8">
        <w:rPr>
          <w:rFonts w:asciiTheme="minorHAnsi" w:hAnsiTheme="minorHAnsi"/>
          <w:noProof/>
        </w:rPr>
        <w:t>15</w:t>
      </w:r>
      <w:r w:rsidRPr="00CA472B">
        <w:rPr>
          <w:rFonts w:asciiTheme="minorHAnsi" w:hAnsiTheme="minorHAnsi"/>
          <w:noProof/>
        </w:rPr>
        <w:fldChar w:fldCharType="end"/>
      </w:r>
    </w:p>
    <w:p w:rsidR="00684591" w:rsidRPr="00CA472B" w:rsidRDefault="00684591" w:rsidP="00CA472B">
      <w:pPr>
        <w:pStyle w:val="TOC3"/>
        <w:rPr>
          <w:rFonts w:asciiTheme="minorHAnsi" w:eastAsiaTheme="minorEastAsia" w:hAnsiTheme="minorHAnsi" w:cstheme="minorBidi"/>
          <w:noProof/>
        </w:rPr>
      </w:pPr>
      <w:r w:rsidRPr="00CA472B">
        <w:rPr>
          <w:rFonts w:asciiTheme="minorHAnsi" w:hAnsiTheme="minorHAnsi"/>
          <w:noProof/>
        </w:rPr>
        <w:t>2.3.2</w:t>
      </w:r>
      <w:r w:rsidRPr="00CA472B">
        <w:rPr>
          <w:rFonts w:asciiTheme="minorHAnsi" w:eastAsiaTheme="minorEastAsia" w:hAnsiTheme="minorHAnsi" w:cstheme="minorBidi"/>
          <w:noProof/>
        </w:rPr>
        <w:tab/>
      </w:r>
      <w:r w:rsidRPr="00CA472B">
        <w:rPr>
          <w:rFonts w:asciiTheme="minorHAnsi" w:hAnsiTheme="minorHAnsi"/>
          <w:noProof/>
        </w:rPr>
        <w:t xml:space="preserve"> OTC Model Rule</w:t>
      </w:r>
      <w:r w:rsidRPr="00CA472B">
        <w:rPr>
          <w:rFonts w:asciiTheme="minorHAnsi" w:hAnsiTheme="minorHAnsi"/>
          <w:noProof/>
        </w:rPr>
        <w:tab/>
      </w:r>
      <w:r w:rsidRPr="00CA472B">
        <w:rPr>
          <w:rFonts w:asciiTheme="minorHAnsi" w:hAnsiTheme="minorHAnsi"/>
          <w:noProof/>
        </w:rPr>
        <w:fldChar w:fldCharType="begin"/>
      </w:r>
      <w:r w:rsidRPr="00CA472B">
        <w:rPr>
          <w:rFonts w:asciiTheme="minorHAnsi" w:hAnsiTheme="minorHAnsi"/>
          <w:noProof/>
        </w:rPr>
        <w:instrText xml:space="preserve"> PAGEREF _Toc461027095 \h </w:instrText>
      </w:r>
      <w:r w:rsidRPr="00CA472B">
        <w:rPr>
          <w:rFonts w:asciiTheme="minorHAnsi" w:hAnsiTheme="minorHAnsi"/>
          <w:noProof/>
        </w:rPr>
      </w:r>
      <w:r w:rsidRPr="00CA472B">
        <w:rPr>
          <w:rFonts w:asciiTheme="minorHAnsi" w:hAnsiTheme="minorHAnsi"/>
          <w:noProof/>
        </w:rPr>
        <w:fldChar w:fldCharType="separate"/>
      </w:r>
      <w:r w:rsidR="00FF69F8">
        <w:rPr>
          <w:rFonts w:asciiTheme="minorHAnsi" w:hAnsiTheme="minorHAnsi"/>
          <w:noProof/>
        </w:rPr>
        <w:t>15</w:t>
      </w:r>
      <w:r w:rsidRPr="00CA472B">
        <w:rPr>
          <w:rFonts w:asciiTheme="minorHAnsi" w:hAnsiTheme="minorHAnsi"/>
          <w:noProof/>
        </w:rPr>
        <w:fldChar w:fldCharType="end"/>
      </w:r>
    </w:p>
    <w:p w:rsidR="00684591" w:rsidRPr="00CA472B" w:rsidRDefault="00684591">
      <w:pPr>
        <w:pStyle w:val="TOC4"/>
        <w:rPr>
          <w:rFonts w:asciiTheme="minorHAnsi" w:eastAsiaTheme="minorEastAsia" w:hAnsiTheme="minorHAnsi"/>
          <w:noProof/>
          <w:sz w:val="22"/>
        </w:rPr>
      </w:pPr>
      <w:r w:rsidRPr="00CA472B">
        <w:rPr>
          <w:rFonts w:asciiTheme="minorHAnsi" w:hAnsiTheme="minorHAnsi"/>
          <w:noProof/>
          <w:sz w:val="22"/>
        </w:rPr>
        <w:t>3.3.2.1</w:t>
      </w:r>
      <w:r w:rsidRPr="00CA472B">
        <w:rPr>
          <w:rFonts w:asciiTheme="minorHAnsi" w:eastAsiaTheme="minorEastAsia" w:hAnsiTheme="minorHAnsi"/>
          <w:noProof/>
          <w:sz w:val="22"/>
        </w:rPr>
        <w:tab/>
      </w:r>
      <w:r w:rsidRPr="00CA472B">
        <w:rPr>
          <w:rFonts w:asciiTheme="minorHAnsi" w:hAnsiTheme="minorHAnsi"/>
          <w:noProof/>
          <w:sz w:val="22"/>
        </w:rPr>
        <w:t>The 2002 OTC MERR Model Rule</w:t>
      </w:r>
      <w:r w:rsidRPr="00CA472B">
        <w:rPr>
          <w:rFonts w:asciiTheme="minorHAnsi" w:hAnsiTheme="minorHAnsi"/>
          <w:noProof/>
          <w:sz w:val="22"/>
        </w:rPr>
        <w:tab/>
      </w:r>
      <w:r w:rsidRPr="00CA472B">
        <w:rPr>
          <w:rFonts w:asciiTheme="minorHAnsi" w:hAnsiTheme="minorHAnsi"/>
          <w:noProof/>
          <w:sz w:val="22"/>
        </w:rPr>
        <w:fldChar w:fldCharType="begin"/>
      </w:r>
      <w:r w:rsidRPr="00CA472B">
        <w:rPr>
          <w:rFonts w:asciiTheme="minorHAnsi" w:hAnsiTheme="minorHAnsi"/>
          <w:noProof/>
          <w:sz w:val="22"/>
        </w:rPr>
        <w:instrText xml:space="preserve"> PAGEREF _Toc461027096 \h </w:instrText>
      </w:r>
      <w:r w:rsidRPr="00CA472B">
        <w:rPr>
          <w:rFonts w:asciiTheme="minorHAnsi" w:hAnsiTheme="minorHAnsi"/>
          <w:noProof/>
          <w:sz w:val="22"/>
        </w:rPr>
      </w:r>
      <w:r w:rsidRPr="00CA472B">
        <w:rPr>
          <w:rFonts w:asciiTheme="minorHAnsi" w:hAnsiTheme="minorHAnsi"/>
          <w:noProof/>
          <w:sz w:val="22"/>
        </w:rPr>
        <w:fldChar w:fldCharType="separate"/>
      </w:r>
      <w:r w:rsidR="00FF69F8">
        <w:rPr>
          <w:rFonts w:asciiTheme="minorHAnsi" w:hAnsiTheme="minorHAnsi"/>
          <w:noProof/>
          <w:sz w:val="22"/>
        </w:rPr>
        <w:t>15</w:t>
      </w:r>
      <w:r w:rsidRPr="00CA472B">
        <w:rPr>
          <w:rFonts w:asciiTheme="minorHAnsi" w:hAnsiTheme="minorHAnsi"/>
          <w:noProof/>
          <w:sz w:val="22"/>
        </w:rPr>
        <w:fldChar w:fldCharType="end"/>
      </w:r>
    </w:p>
    <w:p w:rsidR="00684591" w:rsidRPr="00CA472B" w:rsidRDefault="00684591">
      <w:pPr>
        <w:pStyle w:val="TOC4"/>
        <w:rPr>
          <w:rFonts w:asciiTheme="minorHAnsi" w:eastAsiaTheme="minorEastAsia" w:hAnsiTheme="minorHAnsi"/>
          <w:noProof/>
          <w:sz w:val="22"/>
        </w:rPr>
      </w:pPr>
      <w:r w:rsidRPr="00CA472B">
        <w:rPr>
          <w:rFonts w:asciiTheme="minorHAnsi" w:hAnsiTheme="minorHAnsi"/>
          <w:noProof/>
          <w:sz w:val="22"/>
        </w:rPr>
        <w:t>2.3.2.2</w:t>
      </w:r>
      <w:r w:rsidRPr="00CA472B">
        <w:rPr>
          <w:rFonts w:asciiTheme="minorHAnsi" w:eastAsiaTheme="minorEastAsia" w:hAnsiTheme="minorHAnsi"/>
          <w:noProof/>
          <w:sz w:val="22"/>
        </w:rPr>
        <w:tab/>
      </w:r>
      <w:r w:rsidRPr="00CA472B">
        <w:rPr>
          <w:rFonts w:asciiTheme="minorHAnsi" w:hAnsiTheme="minorHAnsi"/>
          <w:noProof/>
          <w:sz w:val="22"/>
        </w:rPr>
        <w:t>The 2009 OTC MVME Model Rule</w:t>
      </w:r>
      <w:r w:rsidRPr="00CA472B">
        <w:rPr>
          <w:rFonts w:asciiTheme="minorHAnsi" w:hAnsiTheme="minorHAnsi"/>
          <w:noProof/>
          <w:sz w:val="22"/>
        </w:rPr>
        <w:tab/>
      </w:r>
      <w:r w:rsidRPr="00CA472B">
        <w:rPr>
          <w:rFonts w:asciiTheme="minorHAnsi" w:hAnsiTheme="minorHAnsi"/>
          <w:noProof/>
          <w:sz w:val="22"/>
        </w:rPr>
        <w:fldChar w:fldCharType="begin"/>
      </w:r>
      <w:r w:rsidRPr="00CA472B">
        <w:rPr>
          <w:rFonts w:asciiTheme="minorHAnsi" w:hAnsiTheme="minorHAnsi"/>
          <w:noProof/>
          <w:sz w:val="22"/>
        </w:rPr>
        <w:instrText xml:space="preserve"> PAGEREF _Toc461027097 \h </w:instrText>
      </w:r>
      <w:r w:rsidRPr="00CA472B">
        <w:rPr>
          <w:rFonts w:asciiTheme="minorHAnsi" w:hAnsiTheme="minorHAnsi"/>
          <w:noProof/>
          <w:sz w:val="22"/>
        </w:rPr>
      </w:r>
      <w:r w:rsidRPr="00CA472B">
        <w:rPr>
          <w:rFonts w:asciiTheme="minorHAnsi" w:hAnsiTheme="minorHAnsi"/>
          <w:noProof/>
          <w:sz w:val="22"/>
        </w:rPr>
        <w:fldChar w:fldCharType="separate"/>
      </w:r>
      <w:r w:rsidR="00FF69F8">
        <w:rPr>
          <w:rFonts w:asciiTheme="minorHAnsi" w:hAnsiTheme="minorHAnsi"/>
          <w:noProof/>
          <w:sz w:val="22"/>
        </w:rPr>
        <w:t>16</w:t>
      </w:r>
      <w:r w:rsidRPr="00CA472B">
        <w:rPr>
          <w:rFonts w:asciiTheme="minorHAnsi" w:hAnsiTheme="minorHAnsi"/>
          <w:noProof/>
          <w:sz w:val="22"/>
        </w:rPr>
        <w:fldChar w:fldCharType="end"/>
      </w:r>
    </w:p>
    <w:p w:rsidR="00684591" w:rsidRPr="00CA472B" w:rsidRDefault="00684591" w:rsidP="00CA472B">
      <w:pPr>
        <w:pStyle w:val="TOC3"/>
        <w:rPr>
          <w:rFonts w:asciiTheme="minorHAnsi" w:eastAsiaTheme="minorEastAsia" w:hAnsiTheme="minorHAnsi" w:cstheme="minorBidi"/>
          <w:noProof/>
        </w:rPr>
      </w:pPr>
      <w:r w:rsidRPr="00CA472B">
        <w:rPr>
          <w:rFonts w:asciiTheme="minorHAnsi" w:hAnsiTheme="minorHAnsi"/>
          <w:noProof/>
        </w:rPr>
        <w:t>2.3.3</w:t>
      </w:r>
      <w:r w:rsidRPr="00CA472B">
        <w:rPr>
          <w:rFonts w:asciiTheme="minorHAnsi" w:eastAsiaTheme="minorEastAsia" w:hAnsiTheme="minorHAnsi" w:cstheme="minorBidi"/>
          <w:noProof/>
        </w:rPr>
        <w:tab/>
      </w:r>
      <w:r w:rsidRPr="00CA472B">
        <w:rPr>
          <w:rFonts w:asciiTheme="minorHAnsi" w:hAnsiTheme="minorHAnsi"/>
          <w:noProof/>
        </w:rPr>
        <w:t xml:space="preserve"> Emissions Reduction Benefit</w:t>
      </w:r>
      <w:r w:rsidRPr="00CA472B">
        <w:rPr>
          <w:rFonts w:asciiTheme="minorHAnsi" w:hAnsiTheme="minorHAnsi"/>
          <w:noProof/>
        </w:rPr>
        <w:tab/>
      </w:r>
      <w:r w:rsidRPr="00CA472B">
        <w:rPr>
          <w:rFonts w:asciiTheme="minorHAnsi" w:hAnsiTheme="minorHAnsi"/>
          <w:noProof/>
        </w:rPr>
        <w:fldChar w:fldCharType="begin"/>
      </w:r>
      <w:r w:rsidRPr="00CA472B">
        <w:rPr>
          <w:rFonts w:asciiTheme="minorHAnsi" w:hAnsiTheme="minorHAnsi"/>
          <w:noProof/>
        </w:rPr>
        <w:instrText xml:space="preserve"> PAGEREF _Toc461027098 \h </w:instrText>
      </w:r>
      <w:r w:rsidRPr="00CA472B">
        <w:rPr>
          <w:rFonts w:asciiTheme="minorHAnsi" w:hAnsiTheme="minorHAnsi"/>
          <w:noProof/>
        </w:rPr>
      </w:r>
      <w:r w:rsidRPr="00CA472B">
        <w:rPr>
          <w:rFonts w:asciiTheme="minorHAnsi" w:hAnsiTheme="minorHAnsi"/>
          <w:noProof/>
        </w:rPr>
        <w:fldChar w:fldCharType="separate"/>
      </w:r>
      <w:r w:rsidR="00FF69F8">
        <w:rPr>
          <w:rFonts w:asciiTheme="minorHAnsi" w:hAnsiTheme="minorHAnsi"/>
          <w:noProof/>
        </w:rPr>
        <w:t>16</w:t>
      </w:r>
      <w:r w:rsidRPr="00CA472B">
        <w:rPr>
          <w:rFonts w:asciiTheme="minorHAnsi" w:hAnsiTheme="minorHAnsi"/>
          <w:noProof/>
        </w:rPr>
        <w:fldChar w:fldCharType="end"/>
      </w:r>
    </w:p>
    <w:p w:rsidR="00684591" w:rsidRPr="00CA472B" w:rsidRDefault="00684591">
      <w:pPr>
        <w:pStyle w:val="TOC4"/>
        <w:rPr>
          <w:rFonts w:asciiTheme="minorHAnsi" w:eastAsiaTheme="minorEastAsia" w:hAnsiTheme="minorHAnsi"/>
          <w:noProof/>
          <w:sz w:val="22"/>
        </w:rPr>
      </w:pPr>
      <w:r w:rsidRPr="00CA472B">
        <w:rPr>
          <w:rFonts w:asciiTheme="minorHAnsi" w:hAnsiTheme="minorHAnsi"/>
          <w:noProof/>
          <w:sz w:val="22"/>
        </w:rPr>
        <w:t>2.3.3.1</w:t>
      </w:r>
      <w:r w:rsidRPr="00CA472B">
        <w:rPr>
          <w:rFonts w:asciiTheme="minorHAnsi" w:eastAsiaTheme="minorEastAsia" w:hAnsiTheme="minorHAnsi"/>
          <w:noProof/>
          <w:sz w:val="22"/>
        </w:rPr>
        <w:tab/>
      </w:r>
      <w:r w:rsidRPr="00CA472B">
        <w:rPr>
          <w:rFonts w:asciiTheme="minorHAnsi" w:hAnsiTheme="minorHAnsi"/>
          <w:noProof/>
          <w:sz w:val="22"/>
        </w:rPr>
        <w:t>Emissions Reduction Benefit</w:t>
      </w:r>
      <w:r w:rsidRPr="00CA472B">
        <w:rPr>
          <w:rFonts w:asciiTheme="minorHAnsi" w:hAnsiTheme="minorHAnsi"/>
          <w:noProof/>
          <w:sz w:val="22"/>
        </w:rPr>
        <w:tab/>
      </w:r>
      <w:r w:rsidRPr="00CA472B">
        <w:rPr>
          <w:rFonts w:asciiTheme="minorHAnsi" w:hAnsiTheme="minorHAnsi"/>
          <w:noProof/>
          <w:sz w:val="22"/>
        </w:rPr>
        <w:fldChar w:fldCharType="begin"/>
      </w:r>
      <w:r w:rsidRPr="00CA472B">
        <w:rPr>
          <w:rFonts w:asciiTheme="minorHAnsi" w:hAnsiTheme="minorHAnsi"/>
          <w:noProof/>
          <w:sz w:val="22"/>
        </w:rPr>
        <w:instrText xml:space="preserve"> PAGEREF _Toc461027099 \h </w:instrText>
      </w:r>
      <w:r w:rsidRPr="00CA472B">
        <w:rPr>
          <w:rFonts w:asciiTheme="minorHAnsi" w:hAnsiTheme="minorHAnsi"/>
          <w:noProof/>
          <w:sz w:val="22"/>
        </w:rPr>
      </w:r>
      <w:r w:rsidRPr="00CA472B">
        <w:rPr>
          <w:rFonts w:asciiTheme="minorHAnsi" w:hAnsiTheme="minorHAnsi"/>
          <w:noProof/>
          <w:sz w:val="22"/>
        </w:rPr>
        <w:fldChar w:fldCharType="separate"/>
      </w:r>
      <w:r w:rsidR="00FF69F8">
        <w:rPr>
          <w:rFonts w:asciiTheme="minorHAnsi" w:hAnsiTheme="minorHAnsi"/>
          <w:noProof/>
          <w:sz w:val="22"/>
        </w:rPr>
        <w:t>16</w:t>
      </w:r>
      <w:r w:rsidRPr="00CA472B">
        <w:rPr>
          <w:rFonts w:asciiTheme="minorHAnsi" w:hAnsiTheme="minorHAnsi"/>
          <w:noProof/>
          <w:sz w:val="22"/>
        </w:rPr>
        <w:fldChar w:fldCharType="end"/>
      </w:r>
    </w:p>
    <w:p w:rsidR="00684591" w:rsidRPr="00CA472B" w:rsidRDefault="00684591">
      <w:pPr>
        <w:pStyle w:val="TOC4"/>
        <w:rPr>
          <w:rFonts w:asciiTheme="minorHAnsi" w:eastAsiaTheme="minorEastAsia" w:hAnsiTheme="minorHAnsi"/>
          <w:noProof/>
          <w:sz w:val="22"/>
        </w:rPr>
      </w:pPr>
      <w:r w:rsidRPr="00CA472B">
        <w:rPr>
          <w:rFonts w:asciiTheme="minorHAnsi" w:hAnsiTheme="minorHAnsi"/>
          <w:noProof/>
          <w:sz w:val="22"/>
        </w:rPr>
        <w:t>3.3.3.2</w:t>
      </w:r>
      <w:r w:rsidRPr="00CA472B">
        <w:rPr>
          <w:rFonts w:asciiTheme="minorHAnsi" w:eastAsiaTheme="minorEastAsia" w:hAnsiTheme="minorHAnsi"/>
          <w:noProof/>
          <w:sz w:val="22"/>
        </w:rPr>
        <w:tab/>
      </w:r>
      <w:r w:rsidRPr="00CA472B">
        <w:rPr>
          <w:rFonts w:asciiTheme="minorHAnsi" w:hAnsiTheme="minorHAnsi"/>
          <w:noProof/>
          <w:sz w:val="22"/>
        </w:rPr>
        <w:t>Emissions Reduction Estimation Methodology</w:t>
      </w:r>
      <w:r w:rsidRPr="00CA472B">
        <w:rPr>
          <w:rFonts w:asciiTheme="minorHAnsi" w:hAnsiTheme="minorHAnsi"/>
          <w:noProof/>
          <w:sz w:val="22"/>
        </w:rPr>
        <w:tab/>
      </w:r>
      <w:r w:rsidRPr="00CA472B">
        <w:rPr>
          <w:rFonts w:asciiTheme="minorHAnsi" w:hAnsiTheme="minorHAnsi"/>
          <w:noProof/>
          <w:sz w:val="22"/>
        </w:rPr>
        <w:fldChar w:fldCharType="begin"/>
      </w:r>
      <w:r w:rsidRPr="00CA472B">
        <w:rPr>
          <w:rFonts w:asciiTheme="minorHAnsi" w:hAnsiTheme="minorHAnsi"/>
          <w:noProof/>
          <w:sz w:val="22"/>
        </w:rPr>
        <w:instrText xml:space="preserve"> PAGEREF _Toc461027100 \h </w:instrText>
      </w:r>
      <w:r w:rsidRPr="00CA472B">
        <w:rPr>
          <w:rFonts w:asciiTheme="minorHAnsi" w:hAnsiTheme="minorHAnsi"/>
          <w:noProof/>
          <w:sz w:val="22"/>
        </w:rPr>
      </w:r>
      <w:r w:rsidRPr="00CA472B">
        <w:rPr>
          <w:rFonts w:asciiTheme="minorHAnsi" w:hAnsiTheme="minorHAnsi"/>
          <w:noProof/>
          <w:sz w:val="22"/>
        </w:rPr>
        <w:fldChar w:fldCharType="separate"/>
      </w:r>
      <w:r w:rsidR="00FF69F8">
        <w:rPr>
          <w:rFonts w:asciiTheme="minorHAnsi" w:hAnsiTheme="minorHAnsi"/>
          <w:noProof/>
          <w:sz w:val="22"/>
        </w:rPr>
        <w:t>17</w:t>
      </w:r>
      <w:r w:rsidRPr="00CA472B">
        <w:rPr>
          <w:rFonts w:asciiTheme="minorHAnsi" w:hAnsiTheme="minorHAnsi"/>
          <w:noProof/>
          <w:sz w:val="22"/>
        </w:rPr>
        <w:fldChar w:fldCharType="end"/>
      </w:r>
    </w:p>
    <w:p w:rsidR="00684591" w:rsidRPr="00CA472B" w:rsidRDefault="00684591" w:rsidP="00CA472B">
      <w:pPr>
        <w:pStyle w:val="TOC3"/>
        <w:rPr>
          <w:rFonts w:asciiTheme="minorHAnsi" w:eastAsiaTheme="minorEastAsia" w:hAnsiTheme="minorHAnsi" w:cstheme="minorBidi"/>
          <w:noProof/>
        </w:rPr>
      </w:pPr>
      <w:r w:rsidRPr="00CA472B">
        <w:rPr>
          <w:rFonts w:asciiTheme="minorHAnsi" w:hAnsiTheme="minorHAnsi"/>
          <w:noProof/>
        </w:rPr>
        <w:t>2.3.4</w:t>
      </w:r>
      <w:r w:rsidRPr="00CA472B">
        <w:rPr>
          <w:rFonts w:asciiTheme="minorHAnsi" w:eastAsiaTheme="minorEastAsia" w:hAnsiTheme="minorHAnsi" w:cstheme="minorBidi"/>
          <w:noProof/>
        </w:rPr>
        <w:tab/>
      </w:r>
      <w:r w:rsidRPr="00CA472B">
        <w:rPr>
          <w:rFonts w:asciiTheme="minorHAnsi" w:hAnsiTheme="minorHAnsi"/>
          <w:noProof/>
        </w:rPr>
        <w:t xml:space="preserve"> Control Cost Estimate</w:t>
      </w:r>
      <w:r w:rsidRPr="00CA472B">
        <w:rPr>
          <w:rFonts w:asciiTheme="minorHAnsi" w:hAnsiTheme="minorHAnsi"/>
          <w:noProof/>
        </w:rPr>
        <w:tab/>
      </w:r>
      <w:r w:rsidRPr="00CA472B">
        <w:rPr>
          <w:rFonts w:asciiTheme="minorHAnsi" w:hAnsiTheme="minorHAnsi"/>
          <w:noProof/>
        </w:rPr>
        <w:fldChar w:fldCharType="begin"/>
      </w:r>
      <w:r w:rsidRPr="00CA472B">
        <w:rPr>
          <w:rFonts w:asciiTheme="minorHAnsi" w:hAnsiTheme="minorHAnsi"/>
          <w:noProof/>
        </w:rPr>
        <w:instrText xml:space="preserve"> PAGEREF _Toc461027101 \h </w:instrText>
      </w:r>
      <w:r w:rsidRPr="00CA472B">
        <w:rPr>
          <w:rFonts w:asciiTheme="minorHAnsi" w:hAnsiTheme="minorHAnsi"/>
          <w:noProof/>
        </w:rPr>
      </w:r>
      <w:r w:rsidRPr="00CA472B">
        <w:rPr>
          <w:rFonts w:asciiTheme="minorHAnsi" w:hAnsiTheme="minorHAnsi"/>
          <w:noProof/>
        </w:rPr>
        <w:fldChar w:fldCharType="separate"/>
      </w:r>
      <w:r w:rsidR="00FF69F8">
        <w:rPr>
          <w:rFonts w:asciiTheme="minorHAnsi" w:hAnsiTheme="minorHAnsi"/>
          <w:noProof/>
        </w:rPr>
        <w:t>18</w:t>
      </w:r>
      <w:r w:rsidRPr="00CA472B">
        <w:rPr>
          <w:rFonts w:asciiTheme="minorHAnsi" w:hAnsiTheme="minorHAnsi"/>
          <w:noProof/>
        </w:rPr>
        <w:fldChar w:fldCharType="end"/>
      </w:r>
    </w:p>
    <w:p w:rsidR="00684591" w:rsidRPr="00CA472B" w:rsidRDefault="00684591" w:rsidP="00CA472B">
      <w:pPr>
        <w:pStyle w:val="TOC3"/>
        <w:rPr>
          <w:rFonts w:asciiTheme="minorHAnsi" w:eastAsiaTheme="minorEastAsia" w:hAnsiTheme="minorHAnsi" w:cstheme="minorBidi"/>
          <w:noProof/>
        </w:rPr>
      </w:pPr>
      <w:r w:rsidRPr="00CA472B">
        <w:rPr>
          <w:rFonts w:asciiTheme="minorHAnsi" w:hAnsiTheme="minorHAnsi"/>
          <w:noProof/>
        </w:rPr>
        <w:t>2.3.5</w:t>
      </w:r>
      <w:r w:rsidRPr="00CA472B">
        <w:rPr>
          <w:rFonts w:asciiTheme="minorHAnsi" w:eastAsiaTheme="minorEastAsia" w:hAnsiTheme="minorHAnsi" w:cstheme="minorBidi"/>
          <w:noProof/>
        </w:rPr>
        <w:tab/>
      </w:r>
      <w:r w:rsidRPr="00CA472B">
        <w:rPr>
          <w:rFonts w:asciiTheme="minorHAnsi" w:hAnsiTheme="minorHAnsi"/>
          <w:noProof/>
        </w:rPr>
        <w:t xml:space="preserve"> Emissions Reduction Benefits for Other Pollutants</w:t>
      </w:r>
      <w:r w:rsidRPr="00CA472B">
        <w:rPr>
          <w:rFonts w:asciiTheme="minorHAnsi" w:hAnsiTheme="minorHAnsi"/>
          <w:noProof/>
        </w:rPr>
        <w:tab/>
      </w:r>
      <w:r w:rsidRPr="00CA472B">
        <w:rPr>
          <w:rFonts w:asciiTheme="minorHAnsi" w:hAnsiTheme="minorHAnsi"/>
          <w:noProof/>
        </w:rPr>
        <w:fldChar w:fldCharType="begin"/>
      </w:r>
      <w:r w:rsidRPr="00CA472B">
        <w:rPr>
          <w:rFonts w:asciiTheme="minorHAnsi" w:hAnsiTheme="minorHAnsi"/>
          <w:noProof/>
        </w:rPr>
        <w:instrText xml:space="preserve"> PAGEREF _Toc461027102 \h </w:instrText>
      </w:r>
      <w:r w:rsidRPr="00CA472B">
        <w:rPr>
          <w:rFonts w:asciiTheme="minorHAnsi" w:hAnsiTheme="minorHAnsi"/>
          <w:noProof/>
        </w:rPr>
      </w:r>
      <w:r w:rsidRPr="00CA472B">
        <w:rPr>
          <w:rFonts w:asciiTheme="minorHAnsi" w:hAnsiTheme="minorHAnsi"/>
          <w:noProof/>
        </w:rPr>
        <w:fldChar w:fldCharType="separate"/>
      </w:r>
      <w:r w:rsidR="00FF69F8">
        <w:rPr>
          <w:rFonts w:asciiTheme="minorHAnsi" w:hAnsiTheme="minorHAnsi"/>
          <w:noProof/>
        </w:rPr>
        <w:t>18</w:t>
      </w:r>
      <w:r w:rsidRPr="00CA472B">
        <w:rPr>
          <w:rFonts w:asciiTheme="minorHAnsi" w:hAnsiTheme="minorHAnsi"/>
          <w:noProof/>
        </w:rPr>
        <w:fldChar w:fldCharType="end"/>
      </w:r>
    </w:p>
    <w:p w:rsidR="00684591" w:rsidRPr="00CA472B" w:rsidRDefault="00684591">
      <w:pPr>
        <w:pStyle w:val="TOC2"/>
        <w:tabs>
          <w:tab w:val="left" w:pos="880"/>
          <w:tab w:val="right" w:leader="dot" w:pos="9350"/>
        </w:tabs>
        <w:rPr>
          <w:rFonts w:asciiTheme="minorHAnsi" w:eastAsiaTheme="minorEastAsia" w:hAnsiTheme="minorHAnsi" w:cstheme="minorBidi"/>
          <w:noProof/>
          <w:sz w:val="22"/>
          <w:szCs w:val="22"/>
        </w:rPr>
      </w:pPr>
      <w:r w:rsidRPr="00CA472B">
        <w:rPr>
          <w:rFonts w:asciiTheme="minorHAnsi" w:hAnsiTheme="minorHAnsi"/>
          <w:noProof/>
          <w:sz w:val="22"/>
          <w:szCs w:val="22"/>
        </w:rPr>
        <w:t>2.4</w:t>
      </w:r>
      <w:r w:rsidRPr="00CA472B">
        <w:rPr>
          <w:rFonts w:asciiTheme="minorHAnsi" w:eastAsiaTheme="minorEastAsia" w:hAnsiTheme="minorHAnsi" w:cstheme="minorBidi"/>
          <w:noProof/>
          <w:sz w:val="22"/>
          <w:szCs w:val="22"/>
        </w:rPr>
        <w:tab/>
      </w:r>
      <w:r w:rsidRPr="00CA472B">
        <w:rPr>
          <w:rFonts w:asciiTheme="minorHAnsi" w:hAnsiTheme="minorHAnsi"/>
          <w:noProof/>
          <w:sz w:val="22"/>
          <w:szCs w:val="22"/>
        </w:rPr>
        <w:t>Architectural, Industrial, and Maintenance (AIM) Coatings</w:t>
      </w:r>
      <w:r w:rsidRPr="00CA472B">
        <w:rPr>
          <w:rFonts w:asciiTheme="minorHAnsi" w:hAnsiTheme="minorHAnsi"/>
          <w:noProof/>
          <w:sz w:val="22"/>
          <w:szCs w:val="22"/>
        </w:rPr>
        <w:tab/>
      </w:r>
      <w:r w:rsidRPr="00CA472B">
        <w:rPr>
          <w:rFonts w:asciiTheme="minorHAnsi" w:hAnsiTheme="minorHAnsi"/>
          <w:noProof/>
          <w:sz w:val="22"/>
          <w:szCs w:val="22"/>
        </w:rPr>
        <w:fldChar w:fldCharType="begin"/>
      </w:r>
      <w:r w:rsidRPr="00CA472B">
        <w:rPr>
          <w:rFonts w:asciiTheme="minorHAnsi" w:hAnsiTheme="minorHAnsi"/>
          <w:noProof/>
          <w:sz w:val="22"/>
          <w:szCs w:val="22"/>
        </w:rPr>
        <w:instrText xml:space="preserve"> PAGEREF _Toc461027103 \h </w:instrText>
      </w:r>
      <w:r w:rsidRPr="00CA472B">
        <w:rPr>
          <w:rFonts w:asciiTheme="minorHAnsi" w:hAnsiTheme="minorHAnsi"/>
          <w:noProof/>
          <w:sz w:val="22"/>
          <w:szCs w:val="22"/>
        </w:rPr>
      </w:r>
      <w:r w:rsidRPr="00CA472B">
        <w:rPr>
          <w:rFonts w:asciiTheme="minorHAnsi" w:hAnsiTheme="minorHAnsi"/>
          <w:noProof/>
          <w:sz w:val="22"/>
          <w:szCs w:val="22"/>
        </w:rPr>
        <w:fldChar w:fldCharType="separate"/>
      </w:r>
      <w:r w:rsidR="00FF69F8">
        <w:rPr>
          <w:rFonts w:asciiTheme="minorHAnsi" w:hAnsiTheme="minorHAnsi"/>
          <w:noProof/>
          <w:sz w:val="22"/>
          <w:szCs w:val="22"/>
        </w:rPr>
        <w:t>19</w:t>
      </w:r>
      <w:r w:rsidRPr="00CA472B">
        <w:rPr>
          <w:rFonts w:asciiTheme="minorHAnsi" w:hAnsiTheme="minorHAnsi"/>
          <w:noProof/>
          <w:sz w:val="22"/>
          <w:szCs w:val="22"/>
        </w:rPr>
        <w:fldChar w:fldCharType="end"/>
      </w:r>
    </w:p>
    <w:p w:rsidR="00684591" w:rsidRPr="00CA472B" w:rsidRDefault="00684591" w:rsidP="00CA472B">
      <w:pPr>
        <w:pStyle w:val="TOC3"/>
        <w:rPr>
          <w:rFonts w:asciiTheme="minorHAnsi" w:eastAsiaTheme="minorEastAsia" w:hAnsiTheme="minorHAnsi" w:cstheme="minorBidi"/>
          <w:noProof/>
        </w:rPr>
      </w:pPr>
      <w:r w:rsidRPr="00CA472B">
        <w:rPr>
          <w:rFonts w:asciiTheme="minorHAnsi" w:hAnsiTheme="minorHAnsi"/>
          <w:noProof/>
        </w:rPr>
        <w:t>2.4.1</w:t>
      </w:r>
      <w:r w:rsidRPr="00CA472B">
        <w:rPr>
          <w:rFonts w:asciiTheme="minorHAnsi" w:eastAsiaTheme="minorEastAsia" w:hAnsiTheme="minorHAnsi" w:cstheme="minorBidi"/>
          <w:noProof/>
        </w:rPr>
        <w:tab/>
      </w:r>
      <w:r w:rsidRPr="00CA472B">
        <w:rPr>
          <w:rFonts w:asciiTheme="minorHAnsi" w:hAnsiTheme="minorHAnsi"/>
          <w:noProof/>
        </w:rPr>
        <w:t xml:space="preserve"> Standards Background</w:t>
      </w:r>
      <w:r w:rsidRPr="00CA472B">
        <w:rPr>
          <w:rFonts w:asciiTheme="minorHAnsi" w:hAnsiTheme="minorHAnsi"/>
          <w:noProof/>
        </w:rPr>
        <w:tab/>
      </w:r>
      <w:r w:rsidRPr="00CA472B">
        <w:rPr>
          <w:rFonts w:asciiTheme="minorHAnsi" w:hAnsiTheme="minorHAnsi"/>
          <w:noProof/>
        </w:rPr>
        <w:fldChar w:fldCharType="begin"/>
      </w:r>
      <w:r w:rsidRPr="00CA472B">
        <w:rPr>
          <w:rFonts w:asciiTheme="minorHAnsi" w:hAnsiTheme="minorHAnsi"/>
          <w:noProof/>
        </w:rPr>
        <w:instrText xml:space="preserve"> PAGEREF _Toc461027104 \h </w:instrText>
      </w:r>
      <w:r w:rsidRPr="00CA472B">
        <w:rPr>
          <w:rFonts w:asciiTheme="minorHAnsi" w:hAnsiTheme="minorHAnsi"/>
          <w:noProof/>
        </w:rPr>
      </w:r>
      <w:r w:rsidRPr="00CA472B">
        <w:rPr>
          <w:rFonts w:asciiTheme="minorHAnsi" w:hAnsiTheme="minorHAnsi"/>
          <w:noProof/>
        </w:rPr>
        <w:fldChar w:fldCharType="separate"/>
      </w:r>
      <w:r w:rsidR="00FF69F8">
        <w:rPr>
          <w:rFonts w:asciiTheme="minorHAnsi" w:hAnsiTheme="minorHAnsi"/>
          <w:noProof/>
        </w:rPr>
        <w:t>19</w:t>
      </w:r>
      <w:r w:rsidRPr="00CA472B">
        <w:rPr>
          <w:rFonts w:asciiTheme="minorHAnsi" w:hAnsiTheme="minorHAnsi"/>
          <w:noProof/>
        </w:rPr>
        <w:fldChar w:fldCharType="end"/>
      </w:r>
    </w:p>
    <w:p w:rsidR="00684591" w:rsidRPr="00CA472B" w:rsidRDefault="00684591" w:rsidP="00CA472B">
      <w:pPr>
        <w:pStyle w:val="TOC3"/>
        <w:rPr>
          <w:rFonts w:asciiTheme="minorHAnsi" w:eastAsiaTheme="minorEastAsia" w:hAnsiTheme="minorHAnsi" w:cstheme="minorBidi"/>
          <w:noProof/>
        </w:rPr>
      </w:pPr>
      <w:r w:rsidRPr="00CA472B">
        <w:rPr>
          <w:rFonts w:asciiTheme="minorHAnsi" w:hAnsiTheme="minorHAnsi"/>
          <w:noProof/>
        </w:rPr>
        <w:t>2.4.2</w:t>
      </w:r>
      <w:r w:rsidRPr="00CA472B">
        <w:rPr>
          <w:rFonts w:asciiTheme="minorHAnsi" w:eastAsiaTheme="minorEastAsia" w:hAnsiTheme="minorHAnsi" w:cstheme="minorBidi"/>
          <w:noProof/>
        </w:rPr>
        <w:tab/>
      </w:r>
      <w:r w:rsidRPr="00CA472B">
        <w:rPr>
          <w:rFonts w:asciiTheme="minorHAnsi" w:hAnsiTheme="minorHAnsi"/>
          <w:noProof/>
        </w:rPr>
        <w:t xml:space="preserve"> OTC AIM Model Rule</w:t>
      </w:r>
      <w:r w:rsidRPr="00CA472B">
        <w:rPr>
          <w:rFonts w:asciiTheme="minorHAnsi" w:hAnsiTheme="minorHAnsi"/>
          <w:noProof/>
        </w:rPr>
        <w:tab/>
      </w:r>
      <w:r w:rsidRPr="00CA472B">
        <w:rPr>
          <w:rFonts w:asciiTheme="minorHAnsi" w:hAnsiTheme="minorHAnsi"/>
          <w:noProof/>
        </w:rPr>
        <w:fldChar w:fldCharType="begin"/>
      </w:r>
      <w:r w:rsidRPr="00CA472B">
        <w:rPr>
          <w:rFonts w:asciiTheme="minorHAnsi" w:hAnsiTheme="minorHAnsi"/>
          <w:noProof/>
        </w:rPr>
        <w:instrText xml:space="preserve"> PAGEREF _Toc461027105 \h </w:instrText>
      </w:r>
      <w:r w:rsidRPr="00CA472B">
        <w:rPr>
          <w:rFonts w:asciiTheme="minorHAnsi" w:hAnsiTheme="minorHAnsi"/>
          <w:noProof/>
        </w:rPr>
      </w:r>
      <w:r w:rsidRPr="00CA472B">
        <w:rPr>
          <w:rFonts w:asciiTheme="minorHAnsi" w:hAnsiTheme="minorHAnsi"/>
          <w:noProof/>
        </w:rPr>
        <w:fldChar w:fldCharType="separate"/>
      </w:r>
      <w:r w:rsidR="00FF69F8">
        <w:rPr>
          <w:rFonts w:asciiTheme="minorHAnsi" w:hAnsiTheme="minorHAnsi"/>
          <w:noProof/>
        </w:rPr>
        <w:t>20</w:t>
      </w:r>
      <w:r w:rsidRPr="00CA472B">
        <w:rPr>
          <w:rFonts w:asciiTheme="minorHAnsi" w:hAnsiTheme="minorHAnsi"/>
          <w:noProof/>
        </w:rPr>
        <w:fldChar w:fldCharType="end"/>
      </w:r>
    </w:p>
    <w:p w:rsidR="00684591" w:rsidRPr="00CA472B" w:rsidRDefault="00684591" w:rsidP="00CA472B">
      <w:pPr>
        <w:pStyle w:val="TOC3"/>
        <w:rPr>
          <w:rFonts w:asciiTheme="minorHAnsi" w:eastAsiaTheme="minorEastAsia" w:hAnsiTheme="minorHAnsi" w:cstheme="minorBidi"/>
          <w:noProof/>
        </w:rPr>
      </w:pPr>
      <w:r w:rsidRPr="00CA472B">
        <w:rPr>
          <w:rFonts w:asciiTheme="minorHAnsi" w:hAnsiTheme="minorHAnsi"/>
          <w:noProof/>
        </w:rPr>
        <w:t>2.4.3</w:t>
      </w:r>
      <w:r w:rsidRPr="00CA472B">
        <w:rPr>
          <w:rFonts w:asciiTheme="minorHAnsi" w:eastAsiaTheme="minorEastAsia" w:hAnsiTheme="minorHAnsi" w:cstheme="minorBidi"/>
          <w:noProof/>
        </w:rPr>
        <w:tab/>
      </w:r>
      <w:r w:rsidRPr="00CA472B">
        <w:rPr>
          <w:rFonts w:asciiTheme="minorHAnsi" w:hAnsiTheme="minorHAnsi"/>
          <w:noProof/>
        </w:rPr>
        <w:t xml:space="preserve"> Emissions Reduction Benefit</w:t>
      </w:r>
      <w:r w:rsidRPr="00CA472B">
        <w:rPr>
          <w:rFonts w:asciiTheme="minorHAnsi" w:hAnsiTheme="minorHAnsi"/>
          <w:noProof/>
        </w:rPr>
        <w:tab/>
      </w:r>
      <w:r w:rsidRPr="00CA472B">
        <w:rPr>
          <w:rFonts w:asciiTheme="minorHAnsi" w:hAnsiTheme="minorHAnsi"/>
          <w:noProof/>
        </w:rPr>
        <w:fldChar w:fldCharType="begin"/>
      </w:r>
      <w:r w:rsidRPr="00CA472B">
        <w:rPr>
          <w:rFonts w:asciiTheme="minorHAnsi" w:hAnsiTheme="minorHAnsi"/>
          <w:noProof/>
        </w:rPr>
        <w:instrText xml:space="preserve"> PAGEREF _Toc461027106 \h </w:instrText>
      </w:r>
      <w:r w:rsidRPr="00CA472B">
        <w:rPr>
          <w:rFonts w:asciiTheme="minorHAnsi" w:hAnsiTheme="minorHAnsi"/>
          <w:noProof/>
        </w:rPr>
      </w:r>
      <w:r w:rsidRPr="00CA472B">
        <w:rPr>
          <w:rFonts w:asciiTheme="minorHAnsi" w:hAnsiTheme="minorHAnsi"/>
          <w:noProof/>
        </w:rPr>
        <w:fldChar w:fldCharType="separate"/>
      </w:r>
      <w:r w:rsidR="00FF69F8">
        <w:rPr>
          <w:rFonts w:asciiTheme="minorHAnsi" w:hAnsiTheme="minorHAnsi"/>
          <w:noProof/>
        </w:rPr>
        <w:t>25</w:t>
      </w:r>
      <w:r w:rsidRPr="00CA472B">
        <w:rPr>
          <w:rFonts w:asciiTheme="minorHAnsi" w:hAnsiTheme="minorHAnsi"/>
          <w:noProof/>
        </w:rPr>
        <w:fldChar w:fldCharType="end"/>
      </w:r>
    </w:p>
    <w:p w:rsidR="00684591" w:rsidRPr="00CA472B" w:rsidRDefault="00684591" w:rsidP="00CA472B">
      <w:pPr>
        <w:pStyle w:val="TOC3"/>
        <w:rPr>
          <w:rFonts w:asciiTheme="minorHAnsi" w:eastAsiaTheme="minorEastAsia" w:hAnsiTheme="minorHAnsi" w:cstheme="minorBidi"/>
          <w:noProof/>
        </w:rPr>
      </w:pPr>
      <w:r w:rsidRPr="00CA472B">
        <w:rPr>
          <w:rFonts w:asciiTheme="minorHAnsi" w:hAnsiTheme="minorHAnsi"/>
          <w:noProof/>
        </w:rPr>
        <w:t>2.4.4</w:t>
      </w:r>
      <w:r w:rsidRPr="00CA472B">
        <w:rPr>
          <w:rFonts w:asciiTheme="minorHAnsi" w:eastAsiaTheme="minorEastAsia" w:hAnsiTheme="minorHAnsi" w:cstheme="minorBidi"/>
          <w:noProof/>
        </w:rPr>
        <w:tab/>
      </w:r>
      <w:r w:rsidRPr="00CA472B">
        <w:rPr>
          <w:rFonts w:asciiTheme="minorHAnsi" w:hAnsiTheme="minorHAnsi"/>
          <w:noProof/>
        </w:rPr>
        <w:t xml:space="preserve"> Control Cost Estimate</w:t>
      </w:r>
      <w:r w:rsidRPr="00CA472B">
        <w:rPr>
          <w:rFonts w:asciiTheme="minorHAnsi" w:hAnsiTheme="minorHAnsi"/>
          <w:noProof/>
        </w:rPr>
        <w:tab/>
      </w:r>
      <w:r w:rsidRPr="00CA472B">
        <w:rPr>
          <w:rFonts w:asciiTheme="minorHAnsi" w:hAnsiTheme="minorHAnsi"/>
          <w:noProof/>
        </w:rPr>
        <w:fldChar w:fldCharType="begin"/>
      </w:r>
      <w:r w:rsidRPr="00CA472B">
        <w:rPr>
          <w:rFonts w:asciiTheme="minorHAnsi" w:hAnsiTheme="minorHAnsi"/>
          <w:noProof/>
        </w:rPr>
        <w:instrText xml:space="preserve"> PAGEREF _Toc461027107 \h </w:instrText>
      </w:r>
      <w:r w:rsidRPr="00CA472B">
        <w:rPr>
          <w:rFonts w:asciiTheme="minorHAnsi" w:hAnsiTheme="minorHAnsi"/>
          <w:noProof/>
        </w:rPr>
      </w:r>
      <w:r w:rsidRPr="00CA472B">
        <w:rPr>
          <w:rFonts w:asciiTheme="minorHAnsi" w:hAnsiTheme="minorHAnsi"/>
          <w:noProof/>
        </w:rPr>
        <w:fldChar w:fldCharType="separate"/>
      </w:r>
      <w:r w:rsidR="00FF69F8">
        <w:rPr>
          <w:rFonts w:asciiTheme="minorHAnsi" w:hAnsiTheme="minorHAnsi"/>
          <w:noProof/>
        </w:rPr>
        <w:t>26</w:t>
      </w:r>
      <w:r w:rsidRPr="00CA472B">
        <w:rPr>
          <w:rFonts w:asciiTheme="minorHAnsi" w:hAnsiTheme="minorHAnsi"/>
          <w:noProof/>
        </w:rPr>
        <w:fldChar w:fldCharType="end"/>
      </w:r>
    </w:p>
    <w:p w:rsidR="00684591" w:rsidRPr="00CA472B" w:rsidRDefault="00684591" w:rsidP="00CA472B">
      <w:pPr>
        <w:pStyle w:val="TOC3"/>
        <w:rPr>
          <w:rFonts w:asciiTheme="minorHAnsi" w:eastAsiaTheme="minorEastAsia" w:hAnsiTheme="minorHAnsi" w:cstheme="minorBidi"/>
          <w:noProof/>
        </w:rPr>
      </w:pPr>
      <w:r w:rsidRPr="00CA472B">
        <w:rPr>
          <w:rFonts w:asciiTheme="minorHAnsi" w:hAnsiTheme="minorHAnsi"/>
          <w:noProof/>
        </w:rPr>
        <w:t>2.4.5</w:t>
      </w:r>
      <w:r w:rsidRPr="00CA472B">
        <w:rPr>
          <w:rFonts w:asciiTheme="minorHAnsi" w:eastAsiaTheme="minorEastAsia" w:hAnsiTheme="minorHAnsi" w:cstheme="minorBidi"/>
          <w:noProof/>
        </w:rPr>
        <w:tab/>
      </w:r>
      <w:r w:rsidRPr="00CA472B">
        <w:rPr>
          <w:rFonts w:asciiTheme="minorHAnsi" w:hAnsiTheme="minorHAnsi"/>
          <w:noProof/>
        </w:rPr>
        <w:t xml:space="preserve"> Emissions Reduction Benefits for Other Pollutants</w:t>
      </w:r>
      <w:r w:rsidRPr="00CA472B">
        <w:rPr>
          <w:rFonts w:asciiTheme="minorHAnsi" w:hAnsiTheme="minorHAnsi"/>
          <w:noProof/>
        </w:rPr>
        <w:tab/>
      </w:r>
      <w:r w:rsidRPr="00CA472B">
        <w:rPr>
          <w:rFonts w:asciiTheme="minorHAnsi" w:hAnsiTheme="minorHAnsi"/>
          <w:noProof/>
        </w:rPr>
        <w:fldChar w:fldCharType="begin"/>
      </w:r>
      <w:r w:rsidRPr="00CA472B">
        <w:rPr>
          <w:rFonts w:asciiTheme="minorHAnsi" w:hAnsiTheme="minorHAnsi"/>
          <w:noProof/>
        </w:rPr>
        <w:instrText xml:space="preserve"> PAGEREF _Toc461027108 \h </w:instrText>
      </w:r>
      <w:r w:rsidRPr="00CA472B">
        <w:rPr>
          <w:rFonts w:asciiTheme="minorHAnsi" w:hAnsiTheme="minorHAnsi"/>
          <w:noProof/>
        </w:rPr>
      </w:r>
      <w:r w:rsidRPr="00CA472B">
        <w:rPr>
          <w:rFonts w:asciiTheme="minorHAnsi" w:hAnsiTheme="minorHAnsi"/>
          <w:noProof/>
        </w:rPr>
        <w:fldChar w:fldCharType="separate"/>
      </w:r>
      <w:r w:rsidR="00FF69F8">
        <w:rPr>
          <w:rFonts w:asciiTheme="minorHAnsi" w:hAnsiTheme="minorHAnsi"/>
          <w:noProof/>
        </w:rPr>
        <w:t>27</w:t>
      </w:r>
      <w:r w:rsidRPr="00CA472B">
        <w:rPr>
          <w:rFonts w:asciiTheme="minorHAnsi" w:hAnsiTheme="minorHAnsi"/>
          <w:noProof/>
        </w:rPr>
        <w:fldChar w:fldCharType="end"/>
      </w:r>
    </w:p>
    <w:p w:rsidR="00684591" w:rsidRPr="00CA472B" w:rsidRDefault="00684591">
      <w:pPr>
        <w:pStyle w:val="TOC2"/>
        <w:tabs>
          <w:tab w:val="left" w:pos="880"/>
          <w:tab w:val="right" w:leader="dot" w:pos="9350"/>
        </w:tabs>
        <w:rPr>
          <w:rFonts w:asciiTheme="minorHAnsi" w:eastAsiaTheme="minorEastAsia" w:hAnsiTheme="minorHAnsi" w:cstheme="minorBidi"/>
          <w:noProof/>
          <w:sz w:val="22"/>
          <w:szCs w:val="22"/>
        </w:rPr>
      </w:pPr>
      <w:r w:rsidRPr="00CA472B">
        <w:rPr>
          <w:rFonts w:asciiTheme="minorHAnsi" w:hAnsiTheme="minorHAnsi"/>
          <w:noProof/>
          <w:sz w:val="22"/>
          <w:szCs w:val="22"/>
        </w:rPr>
        <w:t>2.5</w:t>
      </w:r>
      <w:r w:rsidRPr="00CA472B">
        <w:rPr>
          <w:rFonts w:asciiTheme="minorHAnsi" w:eastAsiaTheme="minorEastAsia" w:hAnsiTheme="minorHAnsi" w:cstheme="minorBidi"/>
          <w:noProof/>
          <w:sz w:val="22"/>
          <w:szCs w:val="22"/>
        </w:rPr>
        <w:tab/>
      </w:r>
      <w:r w:rsidRPr="00CA472B">
        <w:rPr>
          <w:rFonts w:asciiTheme="minorHAnsi" w:hAnsiTheme="minorHAnsi"/>
          <w:noProof/>
          <w:sz w:val="22"/>
          <w:szCs w:val="22"/>
        </w:rPr>
        <w:t>Solvent Degreasing</w:t>
      </w:r>
      <w:r w:rsidRPr="00CA472B">
        <w:rPr>
          <w:rFonts w:asciiTheme="minorHAnsi" w:hAnsiTheme="minorHAnsi"/>
          <w:noProof/>
          <w:sz w:val="22"/>
          <w:szCs w:val="22"/>
        </w:rPr>
        <w:tab/>
      </w:r>
      <w:r w:rsidRPr="00CA472B">
        <w:rPr>
          <w:rFonts w:asciiTheme="minorHAnsi" w:hAnsiTheme="minorHAnsi"/>
          <w:noProof/>
          <w:sz w:val="22"/>
          <w:szCs w:val="22"/>
        </w:rPr>
        <w:fldChar w:fldCharType="begin"/>
      </w:r>
      <w:r w:rsidRPr="00CA472B">
        <w:rPr>
          <w:rFonts w:asciiTheme="minorHAnsi" w:hAnsiTheme="minorHAnsi"/>
          <w:noProof/>
          <w:sz w:val="22"/>
          <w:szCs w:val="22"/>
        </w:rPr>
        <w:instrText xml:space="preserve"> PAGEREF _Toc461027109 \h </w:instrText>
      </w:r>
      <w:r w:rsidRPr="00CA472B">
        <w:rPr>
          <w:rFonts w:asciiTheme="minorHAnsi" w:hAnsiTheme="minorHAnsi"/>
          <w:noProof/>
          <w:sz w:val="22"/>
          <w:szCs w:val="22"/>
        </w:rPr>
      </w:r>
      <w:r w:rsidRPr="00CA472B">
        <w:rPr>
          <w:rFonts w:asciiTheme="minorHAnsi" w:hAnsiTheme="minorHAnsi"/>
          <w:noProof/>
          <w:sz w:val="22"/>
          <w:szCs w:val="22"/>
        </w:rPr>
        <w:fldChar w:fldCharType="separate"/>
      </w:r>
      <w:r w:rsidR="00FF69F8">
        <w:rPr>
          <w:rFonts w:asciiTheme="minorHAnsi" w:hAnsiTheme="minorHAnsi"/>
          <w:noProof/>
          <w:sz w:val="22"/>
          <w:szCs w:val="22"/>
        </w:rPr>
        <w:t>27</w:t>
      </w:r>
      <w:r w:rsidRPr="00CA472B">
        <w:rPr>
          <w:rFonts w:asciiTheme="minorHAnsi" w:hAnsiTheme="minorHAnsi"/>
          <w:noProof/>
          <w:sz w:val="22"/>
          <w:szCs w:val="22"/>
        </w:rPr>
        <w:fldChar w:fldCharType="end"/>
      </w:r>
    </w:p>
    <w:p w:rsidR="00684591" w:rsidRPr="00CA472B" w:rsidRDefault="00684591" w:rsidP="00CA472B">
      <w:pPr>
        <w:pStyle w:val="TOC3"/>
        <w:rPr>
          <w:rFonts w:asciiTheme="minorHAnsi" w:eastAsiaTheme="minorEastAsia" w:hAnsiTheme="minorHAnsi" w:cstheme="minorBidi"/>
          <w:noProof/>
        </w:rPr>
      </w:pPr>
      <w:r w:rsidRPr="00CA472B">
        <w:rPr>
          <w:rFonts w:asciiTheme="minorHAnsi" w:hAnsiTheme="minorHAnsi"/>
          <w:noProof/>
        </w:rPr>
        <w:t>2.5.1</w:t>
      </w:r>
      <w:r w:rsidRPr="00CA472B">
        <w:rPr>
          <w:rFonts w:asciiTheme="minorHAnsi" w:eastAsiaTheme="minorEastAsia" w:hAnsiTheme="minorHAnsi" w:cstheme="minorBidi"/>
          <w:noProof/>
        </w:rPr>
        <w:tab/>
      </w:r>
      <w:r w:rsidRPr="00CA472B">
        <w:rPr>
          <w:rFonts w:asciiTheme="minorHAnsi" w:hAnsiTheme="minorHAnsi"/>
          <w:noProof/>
        </w:rPr>
        <w:t xml:space="preserve"> Federal Standards</w:t>
      </w:r>
      <w:r w:rsidRPr="00CA472B">
        <w:rPr>
          <w:rFonts w:asciiTheme="minorHAnsi" w:hAnsiTheme="minorHAnsi"/>
          <w:noProof/>
        </w:rPr>
        <w:tab/>
      </w:r>
      <w:r w:rsidRPr="00CA472B">
        <w:rPr>
          <w:rFonts w:asciiTheme="minorHAnsi" w:hAnsiTheme="minorHAnsi"/>
          <w:noProof/>
        </w:rPr>
        <w:fldChar w:fldCharType="begin"/>
      </w:r>
      <w:r w:rsidRPr="00CA472B">
        <w:rPr>
          <w:rFonts w:asciiTheme="minorHAnsi" w:hAnsiTheme="minorHAnsi"/>
          <w:noProof/>
        </w:rPr>
        <w:instrText xml:space="preserve"> PAGEREF _Toc461027110 \h </w:instrText>
      </w:r>
      <w:r w:rsidRPr="00CA472B">
        <w:rPr>
          <w:rFonts w:asciiTheme="minorHAnsi" w:hAnsiTheme="minorHAnsi"/>
          <w:noProof/>
        </w:rPr>
      </w:r>
      <w:r w:rsidRPr="00CA472B">
        <w:rPr>
          <w:rFonts w:asciiTheme="minorHAnsi" w:hAnsiTheme="minorHAnsi"/>
          <w:noProof/>
        </w:rPr>
        <w:fldChar w:fldCharType="separate"/>
      </w:r>
      <w:r w:rsidR="00FF69F8">
        <w:rPr>
          <w:rFonts w:asciiTheme="minorHAnsi" w:hAnsiTheme="minorHAnsi"/>
          <w:noProof/>
        </w:rPr>
        <w:t>27</w:t>
      </w:r>
      <w:r w:rsidRPr="00CA472B">
        <w:rPr>
          <w:rFonts w:asciiTheme="minorHAnsi" w:hAnsiTheme="minorHAnsi"/>
          <w:noProof/>
        </w:rPr>
        <w:fldChar w:fldCharType="end"/>
      </w:r>
    </w:p>
    <w:p w:rsidR="00684591" w:rsidRPr="00CA472B" w:rsidRDefault="00684591" w:rsidP="00CA472B">
      <w:pPr>
        <w:pStyle w:val="TOC3"/>
        <w:rPr>
          <w:rFonts w:asciiTheme="minorHAnsi" w:eastAsiaTheme="minorEastAsia" w:hAnsiTheme="minorHAnsi" w:cstheme="minorBidi"/>
          <w:noProof/>
        </w:rPr>
      </w:pPr>
      <w:r w:rsidRPr="00CA472B">
        <w:rPr>
          <w:rFonts w:asciiTheme="minorHAnsi" w:hAnsiTheme="minorHAnsi"/>
          <w:noProof/>
        </w:rPr>
        <w:lastRenderedPageBreak/>
        <w:t>2.5.2</w:t>
      </w:r>
      <w:r w:rsidRPr="00CA472B">
        <w:rPr>
          <w:rFonts w:asciiTheme="minorHAnsi" w:eastAsiaTheme="minorEastAsia" w:hAnsiTheme="minorHAnsi" w:cstheme="minorBidi"/>
          <w:noProof/>
        </w:rPr>
        <w:tab/>
      </w:r>
      <w:r w:rsidRPr="00CA472B">
        <w:rPr>
          <w:rFonts w:asciiTheme="minorHAnsi" w:hAnsiTheme="minorHAnsi"/>
          <w:noProof/>
        </w:rPr>
        <w:t xml:space="preserve"> California’s South Coast Air Quality Management District (SCAQMD) Standards</w:t>
      </w:r>
      <w:r w:rsidRPr="00CA472B">
        <w:rPr>
          <w:rFonts w:asciiTheme="minorHAnsi" w:hAnsiTheme="minorHAnsi"/>
          <w:noProof/>
        </w:rPr>
        <w:tab/>
      </w:r>
      <w:r w:rsidRPr="00CA472B">
        <w:rPr>
          <w:rFonts w:asciiTheme="minorHAnsi" w:hAnsiTheme="minorHAnsi"/>
          <w:noProof/>
        </w:rPr>
        <w:tab/>
      </w:r>
      <w:r w:rsidRPr="00CA472B">
        <w:rPr>
          <w:rFonts w:asciiTheme="minorHAnsi" w:hAnsiTheme="minorHAnsi"/>
          <w:noProof/>
        </w:rPr>
        <w:tab/>
      </w:r>
      <w:r w:rsidRPr="00CA472B">
        <w:rPr>
          <w:rFonts w:asciiTheme="minorHAnsi" w:hAnsiTheme="minorHAnsi"/>
          <w:noProof/>
        </w:rPr>
        <w:fldChar w:fldCharType="begin"/>
      </w:r>
      <w:r w:rsidRPr="00CA472B">
        <w:rPr>
          <w:rFonts w:asciiTheme="minorHAnsi" w:hAnsiTheme="minorHAnsi"/>
          <w:noProof/>
        </w:rPr>
        <w:instrText xml:space="preserve"> PAGEREF _Toc461027111 \h </w:instrText>
      </w:r>
      <w:r w:rsidRPr="00CA472B">
        <w:rPr>
          <w:rFonts w:asciiTheme="minorHAnsi" w:hAnsiTheme="minorHAnsi"/>
          <w:noProof/>
        </w:rPr>
      </w:r>
      <w:r w:rsidRPr="00CA472B">
        <w:rPr>
          <w:rFonts w:asciiTheme="minorHAnsi" w:hAnsiTheme="minorHAnsi"/>
          <w:noProof/>
        </w:rPr>
        <w:fldChar w:fldCharType="separate"/>
      </w:r>
      <w:r w:rsidR="00FF69F8">
        <w:rPr>
          <w:rFonts w:asciiTheme="minorHAnsi" w:hAnsiTheme="minorHAnsi"/>
          <w:noProof/>
        </w:rPr>
        <w:t>28</w:t>
      </w:r>
      <w:r w:rsidRPr="00CA472B">
        <w:rPr>
          <w:rFonts w:asciiTheme="minorHAnsi" w:hAnsiTheme="minorHAnsi"/>
          <w:noProof/>
        </w:rPr>
        <w:fldChar w:fldCharType="end"/>
      </w:r>
    </w:p>
    <w:p w:rsidR="00684591" w:rsidRPr="00CA472B" w:rsidRDefault="00684591" w:rsidP="00CA472B">
      <w:pPr>
        <w:pStyle w:val="TOC3"/>
        <w:rPr>
          <w:rFonts w:asciiTheme="minorHAnsi" w:eastAsiaTheme="minorEastAsia" w:hAnsiTheme="minorHAnsi" w:cstheme="minorBidi"/>
          <w:noProof/>
        </w:rPr>
      </w:pPr>
      <w:r w:rsidRPr="00CA472B">
        <w:rPr>
          <w:rFonts w:asciiTheme="minorHAnsi" w:hAnsiTheme="minorHAnsi"/>
          <w:noProof/>
        </w:rPr>
        <w:t>2.5.3</w:t>
      </w:r>
      <w:r w:rsidRPr="00CA472B">
        <w:rPr>
          <w:rFonts w:asciiTheme="minorHAnsi" w:eastAsiaTheme="minorEastAsia" w:hAnsiTheme="minorHAnsi" w:cstheme="minorBidi"/>
          <w:noProof/>
        </w:rPr>
        <w:tab/>
      </w:r>
      <w:r w:rsidRPr="00CA472B">
        <w:rPr>
          <w:rFonts w:asciiTheme="minorHAnsi" w:hAnsiTheme="minorHAnsi"/>
          <w:noProof/>
        </w:rPr>
        <w:t xml:space="preserve"> OTC Measure / Model Rule</w:t>
      </w:r>
      <w:r w:rsidRPr="00CA472B">
        <w:rPr>
          <w:rFonts w:asciiTheme="minorHAnsi" w:hAnsiTheme="minorHAnsi"/>
          <w:noProof/>
        </w:rPr>
        <w:tab/>
      </w:r>
      <w:r w:rsidRPr="00CA472B">
        <w:rPr>
          <w:rFonts w:asciiTheme="minorHAnsi" w:hAnsiTheme="minorHAnsi"/>
          <w:noProof/>
        </w:rPr>
        <w:fldChar w:fldCharType="begin"/>
      </w:r>
      <w:r w:rsidRPr="00CA472B">
        <w:rPr>
          <w:rFonts w:asciiTheme="minorHAnsi" w:hAnsiTheme="minorHAnsi"/>
          <w:noProof/>
        </w:rPr>
        <w:instrText xml:space="preserve"> PAGEREF _Toc461027112 \h </w:instrText>
      </w:r>
      <w:r w:rsidRPr="00CA472B">
        <w:rPr>
          <w:rFonts w:asciiTheme="minorHAnsi" w:hAnsiTheme="minorHAnsi"/>
          <w:noProof/>
        </w:rPr>
      </w:r>
      <w:r w:rsidRPr="00CA472B">
        <w:rPr>
          <w:rFonts w:asciiTheme="minorHAnsi" w:hAnsiTheme="minorHAnsi"/>
          <w:noProof/>
        </w:rPr>
        <w:fldChar w:fldCharType="separate"/>
      </w:r>
      <w:r w:rsidR="00FF69F8">
        <w:rPr>
          <w:rFonts w:asciiTheme="minorHAnsi" w:hAnsiTheme="minorHAnsi"/>
          <w:noProof/>
        </w:rPr>
        <w:t>29</w:t>
      </w:r>
      <w:r w:rsidRPr="00CA472B">
        <w:rPr>
          <w:rFonts w:asciiTheme="minorHAnsi" w:hAnsiTheme="minorHAnsi"/>
          <w:noProof/>
        </w:rPr>
        <w:fldChar w:fldCharType="end"/>
      </w:r>
    </w:p>
    <w:p w:rsidR="00684591" w:rsidRPr="00CA472B" w:rsidRDefault="00684591" w:rsidP="00CA472B">
      <w:pPr>
        <w:pStyle w:val="TOC3"/>
        <w:rPr>
          <w:rFonts w:asciiTheme="minorHAnsi" w:eastAsiaTheme="minorEastAsia" w:hAnsiTheme="minorHAnsi" w:cstheme="minorBidi"/>
          <w:noProof/>
        </w:rPr>
      </w:pPr>
      <w:r w:rsidRPr="00CA472B">
        <w:rPr>
          <w:rFonts w:asciiTheme="minorHAnsi" w:hAnsiTheme="minorHAnsi"/>
          <w:noProof/>
        </w:rPr>
        <w:t>2.5.4</w:t>
      </w:r>
      <w:r w:rsidRPr="00CA472B">
        <w:rPr>
          <w:rFonts w:asciiTheme="minorHAnsi" w:eastAsiaTheme="minorEastAsia" w:hAnsiTheme="minorHAnsi" w:cstheme="minorBidi"/>
          <w:noProof/>
        </w:rPr>
        <w:tab/>
      </w:r>
      <w:r w:rsidRPr="00CA472B">
        <w:rPr>
          <w:rFonts w:asciiTheme="minorHAnsi" w:hAnsiTheme="minorHAnsi"/>
          <w:noProof/>
        </w:rPr>
        <w:t xml:space="preserve"> Emissions Reduction Benefit</w:t>
      </w:r>
      <w:r w:rsidRPr="00CA472B">
        <w:rPr>
          <w:rFonts w:asciiTheme="minorHAnsi" w:hAnsiTheme="minorHAnsi"/>
          <w:noProof/>
        </w:rPr>
        <w:tab/>
      </w:r>
      <w:r w:rsidRPr="00CA472B">
        <w:rPr>
          <w:rFonts w:asciiTheme="minorHAnsi" w:hAnsiTheme="minorHAnsi"/>
          <w:noProof/>
        </w:rPr>
        <w:fldChar w:fldCharType="begin"/>
      </w:r>
      <w:r w:rsidRPr="00CA472B">
        <w:rPr>
          <w:rFonts w:asciiTheme="minorHAnsi" w:hAnsiTheme="minorHAnsi"/>
          <w:noProof/>
        </w:rPr>
        <w:instrText xml:space="preserve"> PAGEREF _Toc461027113 \h </w:instrText>
      </w:r>
      <w:r w:rsidRPr="00CA472B">
        <w:rPr>
          <w:rFonts w:asciiTheme="minorHAnsi" w:hAnsiTheme="minorHAnsi"/>
          <w:noProof/>
        </w:rPr>
      </w:r>
      <w:r w:rsidRPr="00CA472B">
        <w:rPr>
          <w:rFonts w:asciiTheme="minorHAnsi" w:hAnsiTheme="minorHAnsi"/>
          <w:noProof/>
        </w:rPr>
        <w:fldChar w:fldCharType="separate"/>
      </w:r>
      <w:r w:rsidR="00FF69F8">
        <w:rPr>
          <w:rFonts w:asciiTheme="minorHAnsi" w:hAnsiTheme="minorHAnsi"/>
          <w:noProof/>
        </w:rPr>
        <w:t>29</w:t>
      </w:r>
      <w:r w:rsidRPr="00CA472B">
        <w:rPr>
          <w:rFonts w:asciiTheme="minorHAnsi" w:hAnsiTheme="minorHAnsi"/>
          <w:noProof/>
        </w:rPr>
        <w:fldChar w:fldCharType="end"/>
      </w:r>
    </w:p>
    <w:p w:rsidR="00684591" w:rsidRPr="00CA472B" w:rsidRDefault="00684591" w:rsidP="00CA472B">
      <w:pPr>
        <w:pStyle w:val="TOC3"/>
        <w:rPr>
          <w:rFonts w:asciiTheme="minorHAnsi" w:eastAsiaTheme="minorEastAsia" w:hAnsiTheme="minorHAnsi" w:cstheme="minorBidi"/>
          <w:noProof/>
        </w:rPr>
      </w:pPr>
      <w:r w:rsidRPr="00CA472B">
        <w:rPr>
          <w:rFonts w:asciiTheme="minorHAnsi" w:hAnsiTheme="minorHAnsi"/>
          <w:noProof/>
        </w:rPr>
        <w:t>2.5.5</w:t>
      </w:r>
      <w:r w:rsidRPr="00CA472B">
        <w:rPr>
          <w:rFonts w:asciiTheme="minorHAnsi" w:eastAsiaTheme="minorEastAsia" w:hAnsiTheme="minorHAnsi" w:cstheme="minorBidi"/>
          <w:noProof/>
        </w:rPr>
        <w:tab/>
      </w:r>
      <w:r w:rsidRPr="00CA472B">
        <w:rPr>
          <w:rFonts w:asciiTheme="minorHAnsi" w:hAnsiTheme="minorHAnsi"/>
          <w:noProof/>
        </w:rPr>
        <w:t xml:space="preserve"> Control Cost Estimate</w:t>
      </w:r>
      <w:r w:rsidRPr="00CA472B">
        <w:rPr>
          <w:rFonts w:asciiTheme="minorHAnsi" w:hAnsiTheme="minorHAnsi"/>
          <w:noProof/>
        </w:rPr>
        <w:tab/>
      </w:r>
      <w:r w:rsidRPr="00CA472B">
        <w:rPr>
          <w:rFonts w:asciiTheme="minorHAnsi" w:hAnsiTheme="minorHAnsi"/>
          <w:noProof/>
        </w:rPr>
        <w:fldChar w:fldCharType="begin"/>
      </w:r>
      <w:r w:rsidRPr="00CA472B">
        <w:rPr>
          <w:rFonts w:asciiTheme="minorHAnsi" w:hAnsiTheme="minorHAnsi"/>
          <w:noProof/>
        </w:rPr>
        <w:instrText xml:space="preserve"> PAGEREF _Toc461027114 \h </w:instrText>
      </w:r>
      <w:r w:rsidRPr="00CA472B">
        <w:rPr>
          <w:rFonts w:asciiTheme="minorHAnsi" w:hAnsiTheme="minorHAnsi"/>
          <w:noProof/>
        </w:rPr>
      </w:r>
      <w:r w:rsidRPr="00CA472B">
        <w:rPr>
          <w:rFonts w:asciiTheme="minorHAnsi" w:hAnsiTheme="minorHAnsi"/>
          <w:noProof/>
        </w:rPr>
        <w:fldChar w:fldCharType="separate"/>
      </w:r>
      <w:r w:rsidR="00FF69F8">
        <w:rPr>
          <w:rFonts w:asciiTheme="minorHAnsi" w:hAnsiTheme="minorHAnsi"/>
          <w:noProof/>
        </w:rPr>
        <w:t>30</w:t>
      </w:r>
      <w:r w:rsidRPr="00CA472B">
        <w:rPr>
          <w:rFonts w:asciiTheme="minorHAnsi" w:hAnsiTheme="minorHAnsi"/>
          <w:noProof/>
        </w:rPr>
        <w:fldChar w:fldCharType="end"/>
      </w:r>
    </w:p>
    <w:p w:rsidR="00684591" w:rsidRPr="00CA472B" w:rsidRDefault="00684591" w:rsidP="00CA472B">
      <w:pPr>
        <w:pStyle w:val="TOC3"/>
        <w:rPr>
          <w:rFonts w:asciiTheme="minorHAnsi" w:eastAsiaTheme="minorEastAsia" w:hAnsiTheme="minorHAnsi" w:cstheme="minorBidi"/>
          <w:noProof/>
        </w:rPr>
      </w:pPr>
      <w:r w:rsidRPr="00CA472B">
        <w:rPr>
          <w:rFonts w:asciiTheme="minorHAnsi" w:hAnsiTheme="minorHAnsi"/>
          <w:noProof/>
        </w:rPr>
        <w:t>2.5.6</w:t>
      </w:r>
      <w:r w:rsidRPr="00CA472B">
        <w:rPr>
          <w:rFonts w:asciiTheme="minorHAnsi" w:eastAsiaTheme="minorEastAsia" w:hAnsiTheme="minorHAnsi" w:cstheme="minorBidi"/>
          <w:noProof/>
        </w:rPr>
        <w:tab/>
      </w:r>
      <w:r w:rsidRPr="00CA472B">
        <w:rPr>
          <w:rFonts w:asciiTheme="minorHAnsi" w:hAnsiTheme="minorHAnsi"/>
          <w:noProof/>
        </w:rPr>
        <w:t xml:space="preserve"> Emissions Reduction Benefits for Other Pollutants</w:t>
      </w:r>
      <w:r w:rsidRPr="00CA472B">
        <w:rPr>
          <w:rFonts w:asciiTheme="minorHAnsi" w:hAnsiTheme="minorHAnsi"/>
          <w:noProof/>
        </w:rPr>
        <w:tab/>
      </w:r>
      <w:r w:rsidRPr="00CA472B">
        <w:rPr>
          <w:rFonts w:asciiTheme="minorHAnsi" w:hAnsiTheme="minorHAnsi"/>
          <w:noProof/>
        </w:rPr>
        <w:fldChar w:fldCharType="begin"/>
      </w:r>
      <w:r w:rsidRPr="00CA472B">
        <w:rPr>
          <w:rFonts w:asciiTheme="minorHAnsi" w:hAnsiTheme="minorHAnsi"/>
          <w:noProof/>
        </w:rPr>
        <w:instrText xml:space="preserve"> PAGEREF _Toc461027115 \h </w:instrText>
      </w:r>
      <w:r w:rsidRPr="00CA472B">
        <w:rPr>
          <w:rFonts w:asciiTheme="minorHAnsi" w:hAnsiTheme="minorHAnsi"/>
          <w:noProof/>
        </w:rPr>
      </w:r>
      <w:r w:rsidRPr="00CA472B">
        <w:rPr>
          <w:rFonts w:asciiTheme="minorHAnsi" w:hAnsiTheme="minorHAnsi"/>
          <w:noProof/>
        </w:rPr>
        <w:fldChar w:fldCharType="separate"/>
      </w:r>
      <w:r w:rsidR="00FF69F8">
        <w:rPr>
          <w:rFonts w:asciiTheme="minorHAnsi" w:hAnsiTheme="minorHAnsi"/>
          <w:noProof/>
        </w:rPr>
        <w:t>30</w:t>
      </w:r>
      <w:r w:rsidRPr="00CA472B">
        <w:rPr>
          <w:rFonts w:asciiTheme="minorHAnsi" w:hAnsiTheme="minorHAnsi"/>
          <w:noProof/>
        </w:rPr>
        <w:fldChar w:fldCharType="end"/>
      </w:r>
    </w:p>
    <w:p w:rsidR="00684591" w:rsidRPr="00CA472B" w:rsidRDefault="00684591">
      <w:pPr>
        <w:pStyle w:val="TOC2"/>
        <w:tabs>
          <w:tab w:val="left" w:pos="880"/>
          <w:tab w:val="right" w:leader="dot" w:pos="9350"/>
        </w:tabs>
        <w:rPr>
          <w:rFonts w:asciiTheme="minorHAnsi" w:eastAsiaTheme="minorEastAsia" w:hAnsiTheme="minorHAnsi" w:cstheme="minorBidi"/>
          <w:noProof/>
          <w:sz w:val="22"/>
          <w:szCs w:val="22"/>
        </w:rPr>
      </w:pPr>
      <w:r w:rsidRPr="00CA472B">
        <w:rPr>
          <w:rFonts w:asciiTheme="minorHAnsi" w:hAnsiTheme="minorHAnsi"/>
          <w:noProof/>
          <w:sz w:val="22"/>
          <w:szCs w:val="22"/>
        </w:rPr>
        <w:t>2.6</w:t>
      </w:r>
      <w:r w:rsidRPr="00CA472B">
        <w:rPr>
          <w:rFonts w:asciiTheme="minorHAnsi" w:eastAsiaTheme="minorEastAsia" w:hAnsiTheme="minorHAnsi" w:cstheme="minorBidi"/>
          <w:noProof/>
          <w:sz w:val="22"/>
          <w:szCs w:val="22"/>
        </w:rPr>
        <w:tab/>
      </w:r>
      <w:r w:rsidRPr="00CA472B">
        <w:rPr>
          <w:rFonts w:asciiTheme="minorHAnsi" w:hAnsiTheme="minorHAnsi"/>
          <w:noProof/>
          <w:sz w:val="22"/>
          <w:szCs w:val="22"/>
        </w:rPr>
        <w:t>Appendices</w:t>
      </w:r>
      <w:r w:rsidRPr="00CA472B">
        <w:rPr>
          <w:rFonts w:asciiTheme="minorHAnsi" w:hAnsiTheme="minorHAnsi"/>
          <w:noProof/>
          <w:sz w:val="22"/>
          <w:szCs w:val="22"/>
        </w:rPr>
        <w:tab/>
      </w:r>
      <w:r w:rsidRPr="00CA472B">
        <w:rPr>
          <w:rFonts w:asciiTheme="minorHAnsi" w:hAnsiTheme="minorHAnsi"/>
          <w:noProof/>
          <w:sz w:val="22"/>
          <w:szCs w:val="22"/>
        </w:rPr>
        <w:fldChar w:fldCharType="begin"/>
      </w:r>
      <w:r w:rsidRPr="00CA472B">
        <w:rPr>
          <w:rFonts w:asciiTheme="minorHAnsi" w:hAnsiTheme="minorHAnsi"/>
          <w:noProof/>
          <w:sz w:val="22"/>
          <w:szCs w:val="22"/>
        </w:rPr>
        <w:instrText xml:space="preserve"> PAGEREF _Toc461027116 \h </w:instrText>
      </w:r>
      <w:r w:rsidRPr="00CA472B">
        <w:rPr>
          <w:rFonts w:asciiTheme="minorHAnsi" w:hAnsiTheme="minorHAnsi"/>
          <w:noProof/>
          <w:sz w:val="22"/>
          <w:szCs w:val="22"/>
        </w:rPr>
      </w:r>
      <w:r w:rsidRPr="00CA472B">
        <w:rPr>
          <w:rFonts w:asciiTheme="minorHAnsi" w:hAnsiTheme="minorHAnsi"/>
          <w:noProof/>
          <w:sz w:val="22"/>
          <w:szCs w:val="22"/>
        </w:rPr>
        <w:fldChar w:fldCharType="separate"/>
      </w:r>
      <w:r w:rsidR="00FF69F8">
        <w:rPr>
          <w:rFonts w:asciiTheme="minorHAnsi" w:hAnsiTheme="minorHAnsi"/>
          <w:noProof/>
          <w:sz w:val="22"/>
          <w:szCs w:val="22"/>
        </w:rPr>
        <w:t>30</w:t>
      </w:r>
      <w:r w:rsidRPr="00CA472B">
        <w:rPr>
          <w:rFonts w:asciiTheme="minorHAnsi" w:hAnsiTheme="minorHAnsi"/>
          <w:noProof/>
          <w:sz w:val="22"/>
          <w:szCs w:val="22"/>
        </w:rPr>
        <w:fldChar w:fldCharType="end"/>
      </w:r>
    </w:p>
    <w:p w:rsidR="00684591" w:rsidRPr="00CA472B" w:rsidRDefault="00684591" w:rsidP="00CA472B">
      <w:pPr>
        <w:pStyle w:val="TOC3"/>
        <w:rPr>
          <w:rFonts w:asciiTheme="minorHAnsi" w:eastAsiaTheme="minorEastAsia" w:hAnsiTheme="minorHAnsi" w:cstheme="minorBidi"/>
          <w:noProof/>
        </w:rPr>
      </w:pPr>
      <w:r w:rsidRPr="00CA472B">
        <w:rPr>
          <w:rFonts w:asciiTheme="minorHAnsi" w:hAnsiTheme="minorHAnsi"/>
          <w:noProof/>
        </w:rPr>
        <w:t>2.6.1</w:t>
      </w:r>
      <w:r w:rsidRPr="00CA472B">
        <w:rPr>
          <w:rFonts w:asciiTheme="minorHAnsi" w:eastAsiaTheme="minorEastAsia" w:hAnsiTheme="minorHAnsi" w:cstheme="minorBidi"/>
          <w:noProof/>
        </w:rPr>
        <w:tab/>
      </w:r>
      <w:r w:rsidRPr="00CA472B">
        <w:rPr>
          <w:rFonts w:asciiTheme="minorHAnsi" w:hAnsiTheme="minorHAnsi"/>
          <w:noProof/>
        </w:rPr>
        <w:t xml:space="preserve"> Appendix A:  Data spreadsheets on VOC emissions calculations</w:t>
      </w:r>
      <w:r w:rsidRPr="00CA472B">
        <w:rPr>
          <w:rFonts w:asciiTheme="minorHAnsi" w:hAnsiTheme="minorHAnsi"/>
          <w:noProof/>
        </w:rPr>
        <w:tab/>
      </w:r>
      <w:r w:rsidRPr="00CA472B">
        <w:rPr>
          <w:rFonts w:asciiTheme="minorHAnsi" w:hAnsiTheme="minorHAnsi"/>
          <w:noProof/>
        </w:rPr>
        <w:fldChar w:fldCharType="begin"/>
      </w:r>
      <w:r w:rsidRPr="00CA472B">
        <w:rPr>
          <w:rFonts w:asciiTheme="minorHAnsi" w:hAnsiTheme="minorHAnsi"/>
          <w:noProof/>
        </w:rPr>
        <w:instrText xml:space="preserve"> PAGEREF _Toc461027117 \h </w:instrText>
      </w:r>
      <w:r w:rsidRPr="00CA472B">
        <w:rPr>
          <w:rFonts w:asciiTheme="minorHAnsi" w:hAnsiTheme="minorHAnsi"/>
          <w:noProof/>
        </w:rPr>
      </w:r>
      <w:r w:rsidRPr="00CA472B">
        <w:rPr>
          <w:rFonts w:asciiTheme="minorHAnsi" w:hAnsiTheme="minorHAnsi"/>
          <w:noProof/>
        </w:rPr>
        <w:fldChar w:fldCharType="separate"/>
      </w:r>
      <w:r w:rsidR="00FF69F8">
        <w:rPr>
          <w:rFonts w:asciiTheme="minorHAnsi" w:hAnsiTheme="minorHAnsi"/>
          <w:noProof/>
        </w:rPr>
        <w:t>30</w:t>
      </w:r>
      <w:r w:rsidRPr="00CA472B">
        <w:rPr>
          <w:rFonts w:asciiTheme="minorHAnsi" w:hAnsiTheme="minorHAnsi"/>
          <w:noProof/>
        </w:rPr>
        <w:fldChar w:fldCharType="end"/>
      </w:r>
    </w:p>
    <w:p w:rsidR="00684591" w:rsidRPr="00CA472B" w:rsidRDefault="00684591">
      <w:pPr>
        <w:pStyle w:val="TOC1"/>
        <w:rPr>
          <w:rFonts w:eastAsiaTheme="minorEastAsia" w:cstheme="minorBidi"/>
          <w:noProof/>
          <w:sz w:val="22"/>
          <w:szCs w:val="22"/>
        </w:rPr>
      </w:pPr>
      <w:r w:rsidRPr="00CA472B">
        <w:rPr>
          <w:noProof/>
          <w:sz w:val="22"/>
          <w:szCs w:val="22"/>
        </w:rPr>
        <w:t>3.0</w:t>
      </w:r>
      <w:r w:rsidRPr="00CA472B">
        <w:rPr>
          <w:rFonts w:eastAsiaTheme="minorEastAsia" w:cstheme="minorBidi"/>
          <w:noProof/>
          <w:sz w:val="22"/>
          <w:szCs w:val="22"/>
        </w:rPr>
        <w:t xml:space="preserve">  </w:t>
      </w:r>
      <w:r w:rsidRPr="00CA472B">
        <w:rPr>
          <w:noProof/>
          <w:sz w:val="22"/>
          <w:szCs w:val="22"/>
        </w:rPr>
        <w:t>NITROGEN</w:t>
      </w:r>
      <w:r w:rsidRPr="00CA472B">
        <w:rPr>
          <w:noProof/>
          <w:snapToGrid w:val="0"/>
          <w:sz w:val="22"/>
          <w:szCs w:val="22"/>
        </w:rPr>
        <w:t xml:space="preserve"> OXIDES (NOx)</w:t>
      </w:r>
      <w:r w:rsidRPr="00CA472B">
        <w:rPr>
          <w:noProof/>
          <w:sz w:val="22"/>
          <w:szCs w:val="22"/>
        </w:rPr>
        <w:t xml:space="preserve"> ANALYSIS METHODS</w:t>
      </w:r>
      <w:r w:rsidRPr="00CA472B">
        <w:rPr>
          <w:noProof/>
          <w:sz w:val="22"/>
          <w:szCs w:val="22"/>
        </w:rPr>
        <w:tab/>
      </w:r>
      <w:r w:rsidRPr="00CA472B">
        <w:rPr>
          <w:noProof/>
          <w:sz w:val="22"/>
          <w:szCs w:val="22"/>
        </w:rPr>
        <w:fldChar w:fldCharType="begin"/>
      </w:r>
      <w:r w:rsidRPr="00CA472B">
        <w:rPr>
          <w:noProof/>
          <w:sz w:val="22"/>
          <w:szCs w:val="22"/>
        </w:rPr>
        <w:instrText xml:space="preserve"> PAGEREF _Toc461027118 \h </w:instrText>
      </w:r>
      <w:r w:rsidRPr="00CA472B">
        <w:rPr>
          <w:noProof/>
          <w:sz w:val="22"/>
          <w:szCs w:val="22"/>
        </w:rPr>
      </w:r>
      <w:r w:rsidRPr="00CA472B">
        <w:rPr>
          <w:noProof/>
          <w:sz w:val="22"/>
          <w:szCs w:val="22"/>
        </w:rPr>
        <w:fldChar w:fldCharType="separate"/>
      </w:r>
      <w:r w:rsidR="00FF69F8">
        <w:rPr>
          <w:noProof/>
          <w:sz w:val="22"/>
          <w:szCs w:val="22"/>
        </w:rPr>
        <w:t>31</w:t>
      </w:r>
      <w:r w:rsidRPr="00CA472B">
        <w:rPr>
          <w:noProof/>
          <w:sz w:val="22"/>
          <w:szCs w:val="22"/>
        </w:rPr>
        <w:fldChar w:fldCharType="end"/>
      </w:r>
    </w:p>
    <w:p w:rsidR="00684591" w:rsidRPr="00CA472B" w:rsidRDefault="00684591">
      <w:pPr>
        <w:pStyle w:val="TOC2"/>
        <w:tabs>
          <w:tab w:val="left" w:pos="880"/>
          <w:tab w:val="right" w:leader="dot" w:pos="9350"/>
        </w:tabs>
        <w:rPr>
          <w:rFonts w:asciiTheme="minorHAnsi" w:eastAsiaTheme="minorEastAsia" w:hAnsiTheme="minorHAnsi" w:cstheme="minorBidi"/>
          <w:noProof/>
          <w:sz w:val="22"/>
          <w:szCs w:val="22"/>
        </w:rPr>
      </w:pPr>
      <w:r w:rsidRPr="00CA472B">
        <w:rPr>
          <w:rFonts w:asciiTheme="minorHAnsi" w:hAnsiTheme="minorHAnsi"/>
          <w:noProof/>
          <w:sz w:val="22"/>
          <w:szCs w:val="22"/>
        </w:rPr>
        <w:t>3.1</w:t>
      </w:r>
      <w:r w:rsidRPr="00CA472B">
        <w:rPr>
          <w:rFonts w:asciiTheme="minorHAnsi" w:eastAsiaTheme="minorEastAsia" w:hAnsiTheme="minorHAnsi" w:cstheme="minorBidi"/>
          <w:noProof/>
          <w:sz w:val="22"/>
          <w:szCs w:val="22"/>
        </w:rPr>
        <w:tab/>
      </w:r>
      <w:r w:rsidRPr="00CA472B">
        <w:rPr>
          <w:rFonts w:asciiTheme="minorHAnsi" w:hAnsiTheme="minorHAnsi"/>
          <w:noProof/>
          <w:sz w:val="22"/>
          <w:szCs w:val="22"/>
        </w:rPr>
        <w:t>Stationary Generators</w:t>
      </w:r>
      <w:r w:rsidRPr="00CA472B">
        <w:rPr>
          <w:rFonts w:asciiTheme="minorHAnsi" w:hAnsiTheme="minorHAnsi"/>
          <w:noProof/>
          <w:sz w:val="22"/>
          <w:szCs w:val="22"/>
        </w:rPr>
        <w:tab/>
      </w:r>
      <w:r w:rsidRPr="00CA472B">
        <w:rPr>
          <w:rFonts w:asciiTheme="minorHAnsi" w:hAnsiTheme="minorHAnsi"/>
          <w:noProof/>
          <w:sz w:val="22"/>
          <w:szCs w:val="22"/>
        </w:rPr>
        <w:fldChar w:fldCharType="begin"/>
      </w:r>
      <w:r w:rsidRPr="00CA472B">
        <w:rPr>
          <w:rFonts w:asciiTheme="minorHAnsi" w:hAnsiTheme="minorHAnsi"/>
          <w:noProof/>
          <w:sz w:val="22"/>
          <w:szCs w:val="22"/>
        </w:rPr>
        <w:instrText xml:space="preserve"> PAGEREF _Toc461027119 \h </w:instrText>
      </w:r>
      <w:r w:rsidRPr="00CA472B">
        <w:rPr>
          <w:rFonts w:asciiTheme="minorHAnsi" w:hAnsiTheme="minorHAnsi"/>
          <w:noProof/>
          <w:sz w:val="22"/>
          <w:szCs w:val="22"/>
        </w:rPr>
      </w:r>
      <w:r w:rsidRPr="00CA472B">
        <w:rPr>
          <w:rFonts w:asciiTheme="minorHAnsi" w:hAnsiTheme="minorHAnsi"/>
          <w:noProof/>
          <w:sz w:val="22"/>
          <w:szCs w:val="22"/>
        </w:rPr>
        <w:fldChar w:fldCharType="separate"/>
      </w:r>
      <w:r w:rsidR="00FF69F8">
        <w:rPr>
          <w:rFonts w:asciiTheme="minorHAnsi" w:hAnsiTheme="minorHAnsi"/>
          <w:noProof/>
          <w:sz w:val="22"/>
          <w:szCs w:val="22"/>
        </w:rPr>
        <w:t>31</w:t>
      </w:r>
      <w:r w:rsidRPr="00CA472B">
        <w:rPr>
          <w:rFonts w:asciiTheme="minorHAnsi" w:hAnsiTheme="minorHAnsi"/>
          <w:noProof/>
          <w:sz w:val="22"/>
          <w:szCs w:val="22"/>
        </w:rPr>
        <w:fldChar w:fldCharType="end"/>
      </w:r>
    </w:p>
    <w:p w:rsidR="00684591" w:rsidRPr="00CA472B" w:rsidRDefault="00684591" w:rsidP="00CA472B">
      <w:pPr>
        <w:pStyle w:val="TOC3"/>
        <w:rPr>
          <w:rFonts w:asciiTheme="minorHAnsi" w:eastAsiaTheme="minorEastAsia" w:hAnsiTheme="minorHAnsi" w:cstheme="minorBidi"/>
          <w:noProof/>
        </w:rPr>
      </w:pPr>
      <w:r w:rsidRPr="00CA472B">
        <w:rPr>
          <w:rFonts w:asciiTheme="minorHAnsi" w:hAnsiTheme="minorHAnsi"/>
          <w:noProof/>
        </w:rPr>
        <w:t>3.1.1</w:t>
      </w:r>
      <w:r w:rsidRPr="00CA472B">
        <w:rPr>
          <w:rFonts w:asciiTheme="minorHAnsi" w:eastAsiaTheme="minorEastAsia" w:hAnsiTheme="minorHAnsi" w:cstheme="minorBidi"/>
          <w:noProof/>
        </w:rPr>
        <w:tab/>
      </w:r>
      <w:r w:rsidRPr="00CA472B">
        <w:rPr>
          <w:rFonts w:asciiTheme="minorHAnsi" w:hAnsiTheme="minorHAnsi"/>
          <w:noProof/>
        </w:rPr>
        <w:t xml:space="preserve"> Federal Standards</w:t>
      </w:r>
      <w:r w:rsidRPr="00CA472B">
        <w:rPr>
          <w:rFonts w:asciiTheme="minorHAnsi" w:hAnsiTheme="minorHAnsi"/>
          <w:noProof/>
        </w:rPr>
        <w:tab/>
      </w:r>
      <w:r w:rsidRPr="00CA472B">
        <w:rPr>
          <w:rFonts w:asciiTheme="minorHAnsi" w:hAnsiTheme="minorHAnsi"/>
          <w:noProof/>
        </w:rPr>
        <w:fldChar w:fldCharType="begin"/>
      </w:r>
      <w:r w:rsidRPr="00CA472B">
        <w:rPr>
          <w:rFonts w:asciiTheme="minorHAnsi" w:hAnsiTheme="minorHAnsi"/>
          <w:noProof/>
        </w:rPr>
        <w:instrText xml:space="preserve"> PAGEREF _Toc461027120 \h </w:instrText>
      </w:r>
      <w:r w:rsidRPr="00CA472B">
        <w:rPr>
          <w:rFonts w:asciiTheme="minorHAnsi" w:hAnsiTheme="minorHAnsi"/>
          <w:noProof/>
        </w:rPr>
      </w:r>
      <w:r w:rsidRPr="00CA472B">
        <w:rPr>
          <w:rFonts w:asciiTheme="minorHAnsi" w:hAnsiTheme="minorHAnsi"/>
          <w:noProof/>
        </w:rPr>
        <w:fldChar w:fldCharType="separate"/>
      </w:r>
      <w:r w:rsidR="00FF69F8">
        <w:rPr>
          <w:rFonts w:asciiTheme="minorHAnsi" w:hAnsiTheme="minorHAnsi"/>
          <w:noProof/>
        </w:rPr>
        <w:t>32</w:t>
      </w:r>
      <w:r w:rsidRPr="00CA472B">
        <w:rPr>
          <w:rFonts w:asciiTheme="minorHAnsi" w:hAnsiTheme="minorHAnsi"/>
          <w:noProof/>
        </w:rPr>
        <w:fldChar w:fldCharType="end"/>
      </w:r>
    </w:p>
    <w:p w:rsidR="00684591" w:rsidRPr="00CA472B" w:rsidRDefault="00684591" w:rsidP="00CA472B">
      <w:pPr>
        <w:pStyle w:val="TOC3"/>
        <w:rPr>
          <w:rFonts w:asciiTheme="minorHAnsi" w:eastAsiaTheme="minorEastAsia" w:hAnsiTheme="minorHAnsi" w:cstheme="minorBidi"/>
          <w:noProof/>
        </w:rPr>
      </w:pPr>
      <w:r w:rsidRPr="00CA472B">
        <w:rPr>
          <w:rFonts w:asciiTheme="minorHAnsi" w:hAnsiTheme="minorHAnsi"/>
          <w:noProof/>
        </w:rPr>
        <w:t>3.1.2</w:t>
      </w:r>
      <w:r w:rsidRPr="00CA472B">
        <w:rPr>
          <w:rFonts w:asciiTheme="minorHAnsi" w:eastAsiaTheme="minorEastAsia" w:hAnsiTheme="minorHAnsi" w:cstheme="minorBidi"/>
          <w:noProof/>
        </w:rPr>
        <w:tab/>
      </w:r>
      <w:r w:rsidRPr="00CA472B">
        <w:rPr>
          <w:rFonts w:asciiTheme="minorHAnsi" w:hAnsiTheme="minorHAnsi"/>
          <w:noProof/>
        </w:rPr>
        <w:t xml:space="preserve"> The OTC Measure</w:t>
      </w:r>
      <w:r w:rsidRPr="00CA472B">
        <w:rPr>
          <w:rFonts w:asciiTheme="minorHAnsi" w:hAnsiTheme="minorHAnsi"/>
          <w:noProof/>
        </w:rPr>
        <w:tab/>
      </w:r>
      <w:r w:rsidRPr="00CA472B">
        <w:rPr>
          <w:rFonts w:asciiTheme="minorHAnsi" w:hAnsiTheme="minorHAnsi"/>
          <w:noProof/>
        </w:rPr>
        <w:fldChar w:fldCharType="begin"/>
      </w:r>
      <w:r w:rsidRPr="00CA472B">
        <w:rPr>
          <w:rFonts w:asciiTheme="minorHAnsi" w:hAnsiTheme="minorHAnsi"/>
          <w:noProof/>
        </w:rPr>
        <w:instrText xml:space="preserve"> PAGEREF _Toc461027121 \h </w:instrText>
      </w:r>
      <w:r w:rsidRPr="00CA472B">
        <w:rPr>
          <w:rFonts w:asciiTheme="minorHAnsi" w:hAnsiTheme="minorHAnsi"/>
          <w:noProof/>
        </w:rPr>
      </w:r>
      <w:r w:rsidRPr="00CA472B">
        <w:rPr>
          <w:rFonts w:asciiTheme="minorHAnsi" w:hAnsiTheme="minorHAnsi"/>
          <w:noProof/>
        </w:rPr>
        <w:fldChar w:fldCharType="separate"/>
      </w:r>
      <w:r w:rsidR="00FF69F8">
        <w:rPr>
          <w:rFonts w:asciiTheme="minorHAnsi" w:hAnsiTheme="minorHAnsi"/>
          <w:noProof/>
        </w:rPr>
        <w:t>32</w:t>
      </w:r>
      <w:r w:rsidRPr="00CA472B">
        <w:rPr>
          <w:rFonts w:asciiTheme="minorHAnsi" w:hAnsiTheme="minorHAnsi"/>
          <w:noProof/>
        </w:rPr>
        <w:fldChar w:fldCharType="end"/>
      </w:r>
    </w:p>
    <w:p w:rsidR="00684591" w:rsidRPr="00CA472B" w:rsidRDefault="00684591" w:rsidP="00CA472B">
      <w:pPr>
        <w:pStyle w:val="TOC3"/>
        <w:rPr>
          <w:rFonts w:asciiTheme="minorHAnsi" w:eastAsiaTheme="minorEastAsia" w:hAnsiTheme="minorHAnsi" w:cstheme="minorBidi"/>
          <w:noProof/>
        </w:rPr>
      </w:pPr>
      <w:r w:rsidRPr="00CA472B">
        <w:rPr>
          <w:rFonts w:asciiTheme="minorHAnsi" w:hAnsiTheme="minorHAnsi"/>
          <w:noProof/>
        </w:rPr>
        <w:t>3.1.3</w:t>
      </w:r>
      <w:r w:rsidRPr="00CA472B">
        <w:rPr>
          <w:rFonts w:asciiTheme="minorHAnsi" w:eastAsiaTheme="minorEastAsia" w:hAnsiTheme="minorHAnsi" w:cstheme="minorBidi"/>
          <w:noProof/>
        </w:rPr>
        <w:tab/>
      </w:r>
      <w:r w:rsidRPr="00CA472B">
        <w:rPr>
          <w:rFonts w:asciiTheme="minorHAnsi" w:hAnsiTheme="minorHAnsi"/>
          <w:noProof/>
        </w:rPr>
        <w:t xml:space="preserve"> Emissions Reduction Benefit</w:t>
      </w:r>
      <w:r w:rsidRPr="00CA472B">
        <w:rPr>
          <w:rFonts w:asciiTheme="minorHAnsi" w:hAnsiTheme="minorHAnsi"/>
          <w:noProof/>
        </w:rPr>
        <w:tab/>
      </w:r>
      <w:r w:rsidRPr="00CA472B">
        <w:rPr>
          <w:rFonts w:asciiTheme="minorHAnsi" w:hAnsiTheme="minorHAnsi"/>
          <w:noProof/>
        </w:rPr>
        <w:fldChar w:fldCharType="begin"/>
      </w:r>
      <w:r w:rsidRPr="00CA472B">
        <w:rPr>
          <w:rFonts w:asciiTheme="minorHAnsi" w:hAnsiTheme="minorHAnsi"/>
          <w:noProof/>
        </w:rPr>
        <w:instrText xml:space="preserve"> PAGEREF _Toc461027122 \h </w:instrText>
      </w:r>
      <w:r w:rsidRPr="00CA472B">
        <w:rPr>
          <w:rFonts w:asciiTheme="minorHAnsi" w:hAnsiTheme="minorHAnsi"/>
          <w:noProof/>
        </w:rPr>
      </w:r>
      <w:r w:rsidRPr="00CA472B">
        <w:rPr>
          <w:rFonts w:asciiTheme="minorHAnsi" w:hAnsiTheme="minorHAnsi"/>
          <w:noProof/>
        </w:rPr>
        <w:fldChar w:fldCharType="separate"/>
      </w:r>
      <w:r w:rsidR="00FF69F8">
        <w:rPr>
          <w:rFonts w:asciiTheme="minorHAnsi" w:hAnsiTheme="minorHAnsi"/>
          <w:noProof/>
        </w:rPr>
        <w:t>34</w:t>
      </w:r>
      <w:r w:rsidRPr="00CA472B">
        <w:rPr>
          <w:rFonts w:asciiTheme="minorHAnsi" w:hAnsiTheme="minorHAnsi"/>
          <w:noProof/>
        </w:rPr>
        <w:fldChar w:fldCharType="end"/>
      </w:r>
    </w:p>
    <w:p w:rsidR="00684591" w:rsidRPr="00CA472B" w:rsidRDefault="00684591" w:rsidP="00CA472B">
      <w:pPr>
        <w:pStyle w:val="TOC3"/>
        <w:rPr>
          <w:rFonts w:asciiTheme="minorHAnsi" w:eastAsiaTheme="minorEastAsia" w:hAnsiTheme="minorHAnsi" w:cstheme="minorBidi"/>
          <w:noProof/>
        </w:rPr>
      </w:pPr>
      <w:r w:rsidRPr="00CA472B">
        <w:rPr>
          <w:rFonts w:asciiTheme="minorHAnsi" w:hAnsiTheme="minorHAnsi"/>
          <w:noProof/>
        </w:rPr>
        <w:t>3.1.4</w:t>
      </w:r>
      <w:r w:rsidRPr="00CA472B">
        <w:rPr>
          <w:rFonts w:asciiTheme="minorHAnsi" w:eastAsiaTheme="minorEastAsia" w:hAnsiTheme="minorHAnsi" w:cstheme="minorBidi"/>
          <w:noProof/>
        </w:rPr>
        <w:tab/>
      </w:r>
      <w:r w:rsidRPr="00CA472B">
        <w:rPr>
          <w:rFonts w:asciiTheme="minorHAnsi" w:hAnsiTheme="minorHAnsi"/>
          <w:noProof/>
        </w:rPr>
        <w:t xml:space="preserve"> Control Cost Estimate</w:t>
      </w:r>
      <w:r w:rsidRPr="00CA472B">
        <w:rPr>
          <w:rFonts w:asciiTheme="minorHAnsi" w:hAnsiTheme="minorHAnsi"/>
          <w:noProof/>
        </w:rPr>
        <w:tab/>
      </w:r>
      <w:r w:rsidRPr="00CA472B">
        <w:rPr>
          <w:rFonts w:asciiTheme="minorHAnsi" w:hAnsiTheme="minorHAnsi"/>
          <w:noProof/>
        </w:rPr>
        <w:fldChar w:fldCharType="begin"/>
      </w:r>
      <w:r w:rsidRPr="00CA472B">
        <w:rPr>
          <w:rFonts w:asciiTheme="minorHAnsi" w:hAnsiTheme="minorHAnsi"/>
          <w:noProof/>
        </w:rPr>
        <w:instrText xml:space="preserve"> PAGEREF _Toc461027123 \h </w:instrText>
      </w:r>
      <w:r w:rsidRPr="00CA472B">
        <w:rPr>
          <w:rFonts w:asciiTheme="minorHAnsi" w:hAnsiTheme="minorHAnsi"/>
          <w:noProof/>
        </w:rPr>
      </w:r>
      <w:r w:rsidRPr="00CA472B">
        <w:rPr>
          <w:rFonts w:asciiTheme="minorHAnsi" w:hAnsiTheme="minorHAnsi"/>
          <w:noProof/>
        </w:rPr>
        <w:fldChar w:fldCharType="separate"/>
      </w:r>
      <w:r w:rsidR="00FF69F8">
        <w:rPr>
          <w:rFonts w:asciiTheme="minorHAnsi" w:hAnsiTheme="minorHAnsi"/>
          <w:noProof/>
        </w:rPr>
        <w:t>36</w:t>
      </w:r>
      <w:r w:rsidRPr="00CA472B">
        <w:rPr>
          <w:rFonts w:asciiTheme="minorHAnsi" w:hAnsiTheme="minorHAnsi"/>
          <w:noProof/>
        </w:rPr>
        <w:fldChar w:fldCharType="end"/>
      </w:r>
    </w:p>
    <w:p w:rsidR="00684591" w:rsidRPr="00CA472B" w:rsidRDefault="00684591" w:rsidP="00CA472B">
      <w:pPr>
        <w:pStyle w:val="TOC3"/>
        <w:rPr>
          <w:rFonts w:asciiTheme="minorHAnsi" w:eastAsiaTheme="minorEastAsia" w:hAnsiTheme="minorHAnsi" w:cstheme="minorBidi"/>
          <w:noProof/>
        </w:rPr>
      </w:pPr>
      <w:r w:rsidRPr="00CA472B">
        <w:rPr>
          <w:rFonts w:asciiTheme="minorHAnsi" w:hAnsiTheme="minorHAnsi"/>
          <w:noProof/>
        </w:rPr>
        <w:t>3.1.5</w:t>
      </w:r>
      <w:r w:rsidRPr="00CA472B">
        <w:rPr>
          <w:rFonts w:asciiTheme="minorHAnsi" w:eastAsiaTheme="minorEastAsia" w:hAnsiTheme="minorHAnsi" w:cstheme="minorBidi"/>
          <w:noProof/>
        </w:rPr>
        <w:tab/>
      </w:r>
      <w:r w:rsidRPr="00CA472B">
        <w:rPr>
          <w:rFonts w:asciiTheme="minorHAnsi" w:hAnsiTheme="minorHAnsi"/>
          <w:noProof/>
        </w:rPr>
        <w:t xml:space="preserve"> Emissions Reduction Benefits for Other Pollutants</w:t>
      </w:r>
      <w:r w:rsidRPr="00CA472B">
        <w:rPr>
          <w:rFonts w:asciiTheme="minorHAnsi" w:hAnsiTheme="minorHAnsi"/>
          <w:noProof/>
        </w:rPr>
        <w:tab/>
      </w:r>
      <w:r w:rsidRPr="00CA472B">
        <w:rPr>
          <w:rFonts w:asciiTheme="minorHAnsi" w:hAnsiTheme="minorHAnsi"/>
          <w:noProof/>
        </w:rPr>
        <w:fldChar w:fldCharType="begin"/>
      </w:r>
      <w:r w:rsidRPr="00CA472B">
        <w:rPr>
          <w:rFonts w:asciiTheme="minorHAnsi" w:hAnsiTheme="minorHAnsi"/>
          <w:noProof/>
        </w:rPr>
        <w:instrText xml:space="preserve"> PAGEREF _Toc461027124 \h </w:instrText>
      </w:r>
      <w:r w:rsidRPr="00CA472B">
        <w:rPr>
          <w:rFonts w:asciiTheme="minorHAnsi" w:hAnsiTheme="minorHAnsi"/>
          <w:noProof/>
        </w:rPr>
      </w:r>
      <w:r w:rsidRPr="00CA472B">
        <w:rPr>
          <w:rFonts w:asciiTheme="minorHAnsi" w:hAnsiTheme="minorHAnsi"/>
          <w:noProof/>
        </w:rPr>
        <w:fldChar w:fldCharType="separate"/>
      </w:r>
      <w:r w:rsidR="00FF69F8">
        <w:rPr>
          <w:rFonts w:asciiTheme="minorHAnsi" w:hAnsiTheme="minorHAnsi"/>
          <w:noProof/>
        </w:rPr>
        <w:t>36</w:t>
      </w:r>
      <w:r w:rsidRPr="00CA472B">
        <w:rPr>
          <w:rFonts w:asciiTheme="minorHAnsi" w:hAnsiTheme="minorHAnsi"/>
          <w:noProof/>
        </w:rPr>
        <w:fldChar w:fldCharType="end"/>
      </w:r>
    </w:p>
    <w:p w:rsidR="00684591" w:rsidRPr="00CA472B" w:rsidRDefault="00684591">
      <w:pPr>
        <w:pStyle w:val="TOC2"/>
        <w:tabs>
          <w:tab w:val="left" w:pos="1100"/>
          <w:tab w:val="right" w:leader="dot" w:pos="9350"/>
        </w:tabs>
        <w:rPr>
          <w:rFonts w:asciiTheme="minorHAnsi" w:eastAsiaTheme="minorEastAsia" w:hAnsiTheme="minorHAnsi" w:cstheme="minorBidi"/>
          <w:noProof/>
          <w:sz w:val="22"/>
          <w:szCs w:val="22"/>
        </w:rPr>
      </w:pPr>
      <w:r w:rsidRPr="00CA472B">
        <w:rPr>
          <w:rFonts w:asciiTheme="minorHAnsi" w:hAnsiTheme="minorHAnsi"/>
          <w:noProof/>
          <w:sz w:val="22"/>
          <w:szCs w:val="22"/>
        </w:rPr>
        <w:t>3.2</w:t>
      </w:r>
      <w:r w:rsidRPr="00CA472B">
        <w:rPr>
          <w:rFonts w:asciiTheme="minorHAnsi" w:eastAsiaTheme="minorEastAsia" w:hAnsiTheme="minorHAnsi" w:cstheme="minorBidi"/>
          <w:noProof/>
          <w:sz w:val="22"/>
          <w:szCs w:val="22"/>
        </w:rPr>
        <w:tab/>
      </w:r>
      <w:r w:rsidRPr="00CA472B">
        <w:rPr>
          <w:rFonts w:asciiTheme="minorHAnsi" w:hAnsiTheme="minorHAnsi"/>
          <w:noProof/>
          <w:sz w:val="22"/>
          <w:szCs w:val="22"/>
        </w:rPr>
        <w:t>New Natural Gas-Fired Boilers, Steam Generators, Process Heaters, and Water Heaters; 75,000 BTUs/hr to 5,000,000 BTUs/hr</w:t>
      </w:r>
      <w:r w:rsidRPr="00CA472B">
        <w:rPr>
          <w:rFonts w:asciiTheme="minorHAnsi" w:hAnsiTheme="minorHAnsi"/>
          <w:noProof/>
          <w:sz w:val="22"/>
          <w:szCs w:val="22"/>
        </w:rPr>
        <w:tab/>
      </w:r>
      <w:r w:rsidRPr="00CA472B">
        <w:rPr>
          <w:rFonts w:asciiTheme="minorHAnsi" w:hAnsiTheme="minorHAnsi"/>
          <w:noProof/>
          <w:sz w:val="22"/>
          <w:szCs w:val="22"/>
        </w:rPr>
        <w:fldChar w:fldCharType="begin"/>
      </w:r>
      <w:r w:rsidRPr="00CA472B">
        <w:rPr>
          <w:rFonts w:asciiTheme="minorHAnsi" w:hAnsiTheme="minorHAnsi"/>
          <w:noProof/>
          <w:sz w:val="22"/>
          <w:szCs w:val="22"/>
        </w:rPr>
        <w:instrText xml:space="preserve"> PAGEREF _Toc461027125 \h </w:instrText>
      </w:r>
      <w:r w:rsidRPr="00CA472B">
        <w:rPr>
          <w:rFonts w:asciiTheme="minorHAnsi" w:hAnsiTheme="minorHAnsi"/>
          <w:noProof/>
          <w:sz w:val="22"/>
          <w:szCs w:val="22"/>
        </w:rPr>
      </w:r>
      <w:r w:rsidRPr="00CA472B">
        <w:rPr>
          <w:rFonts w:asciiTheme="minorHAnsi" w:hAnsiTheme="minorHAnsi"/>
          <w:noProof/>
          <w:sz w:val="22"/>
          <w:szCs w:val="22"/>
        </w:rPr>
        <w:fldChar w:fldCharType="separate"/>
      </w:r>
      <w:r w:rsidR="00FF69F8">
        <w:rPr>
          <w:rFonts w:asciiTheme="minorHAnsi" w:hAnsiTheme="minorHAnsi"/>
          <w:noProof/>
          <w:sz w:val="22"/>
          <w:szCs w:val="22"/>
        </w:rPr>
        <w:t>36</w:t>
      </w:r>
      <w:r w:rsidRPr="00CA472B">
        <w:rPr>
          <w:rFonts w:asciiTheme="minorHAnsi" w:hAnsiTheme="minorHAnsi"/>
          <w:noProof/>
          <w:sz w:val="22"/>
          <w:szCs w:val="22"/>
        </w:rPr>
        <w:fldChar w:fldCharType="end"/>
      </w:r>
    </w:p>
    <w:p w:rsidR="00684591" w:rsidRPr="00CA472B" w:rsidRDefault="00684591" w:rsidP="00CA472B">
      <w:pPr>
        <w:pStyle w:val="TOC3"/>
        <w:rPr>
          <w:rFonts w:asciiTheme="minorHAnsi" w:eastAsiaTheme="minorEastAsia" w:hAnsiTheme="minorHAnsi" w:cstheme="minorBidi"/>
          <w:noProof/>
        </w:rPr>
      </w:pPr>
      <w:r w:rsidRPr="00CA472B">
        <w:rPr>
          <w:rFonts w:asciiTheme="minorHAnsi" w:hAnsiTheme="minorHAnsi"/>
          <w:noProof/>
        </w:rPr>
        <w:t>3.2.1</w:t>
      </w:r>
      <w:r w:rsidRPr="00CA472B">
        <w:rPr>
          <w:rFonts w:asciiTheme="minorHAnsi" w:eastAsiaTheme="minorEastAsia" w:hAnsiTheme="minorHAnsi" w:cstheme="minorBidi"/>
          <w:noProof/>
        </w:rPr>
        <w:tab/>
      </w:r>
      <w:r w:rsidRPr="00CA472B">
        <w:rPr>
          <w:rFonts w:asciiTheme="minorHAnsi" w:hAnsiTheme="minorHAnsi"/>
          <w:noProof/>
        </w:rPr>
        <w:t xml:space="preserve"> Federal Standards</w:t>
      </w:r>
      <w:r w:rsidRPr="00CA472B">
        <w:rPr>
          <w:rFonts w:asciiTheme="minorHAnsi" w:hAnsiTheme="minorHAnsi"/>
          <w:noProof/>
        </w:rPr>
        <w:tab/>
      </w:r>
      <w:r w:rsidRPr="00CA472B">
        <w:rPr>
          <w:rFonts w:asciiTheme="minorHAnsi" w:hAnsiTheme="minorHAnsi"/>
          <w:noProof/>
        </w:rPr>
        <w:fldChar w:fldCharType="begin"/>
      </w:r>
      <w:r w:rsidRPr="00CA472B">
        <w:rPr>
          <w:rFonts w:asciiTheme="minorHAnsi" w:hAnsiTheme="minorHAnsi"/>
          <w:noProof/>
        </w:rPr>
        <w:instrText xml:space="preserve"> PAGEREF _Toc461027126 \h </w:instrText>
      </w:r>
      <w:r w:rsidRPr="00CA472B">
        <w:rPr>
          <w:rFonts w:asciiTheme="minorHAnsi" w:hAnsiTheme="minorHAnsi"/>
          <w:noProof/>
        </w:rPr>
      </w:r>
      <w:r w:rsidRPr="00CA472B">
        <w:rPr>
          <w:rFonts w:asciiTheme="minorHAnsi" w:hAnsiTheme="minorHAnsi"/>
          <w:noProof/>
        </w:rPr>
        <w:fldChar w:fldCharType="separate"/>
      </w:r>
      <w:r w:rsidR="00FF69F8">
        <w:rPr>
          <w:rFonts w:asciiTheme="minorHAnsi" w:hAnsiTheme="minorHAnsi"/>
          <w:noProof/>
        </w:rPr>
        <w:t>36</w:t>
      </w:r>
      <w:r w:rsidRPr="00CA472B">
        <w:rPr>
          <w:rFonts w:asciiTheme="minorHAnsi" w:hAnsiTheme="minorHAnsi"/>
          <w:noProof/>
        </w:rPr>
        <w:fldChar w:fldCharType="end"/>
      </w:r>
    </w:p>
    <w:p w:rsidR="00684591" w:rsidRPr="00CA472B" w:rsidRDefault="00684591" w:rsidP="00CA472B">
      <w:pPr>
        <w:pStyle w:val="TOC3"/>
        <w:rPr>
          <w:rFonts w:asciiTheme="minorHAnsi" w:eastAsiaTheme="minorEastAsia" w:hAnsiTheme="minorHAnsi" w:cstheme="minorBidi"/>
          <w:noProof/>
        </w:rPr>
      </w:pPr>
      <w:r w:rsidRPr="00CA472B">
        <w:rPr>
          <w:rFonts w:asciiTheme="minorHAnsi" w:hAnsiTheme="minorHAnsi"/>
          <w:noProof/>
        </w:rPr>
        <w:t>3.2.2</w:t>
      </w:r>
      <w:r w:rsidRPr="00CA472B">
        <w:rPr>
          <w:rFonts w:asciiTheme="minorHAnsi" w:eastAsiaTheme="minorEastAsia" w:hAnsiTheme="minorHAnsi" w:cstheme="minorBidi"/>
          <w:noProof/>
        </w:rPr>
        <w:tab/>
      </w:r>
      <w:r w:rsidRPr="00CA472B">
        <w:rPr>
          <w:rFonts w:asciiTheme="minorHAnsi" w:hAnsiTheme="minorHAnsi"/>
          <w:noProof/>
        </w:rPr>
        <w:t xml:space="preserve"> The OTC Measure</w:t>
      </w:r>
      <w:r w:rsidRPr="00CA472B">
        <w:rPr>
          <w:rFonts w:asciiTheme="minorHAnsi" w:hAnsiTheme="minorHAnsi"/>
          <w:noProof/>
        </w:rPr>
        <w:tab/>
      </w:r>
      <w:r w:rsidRPr="00CA472B">
        <w:rPr>
          <w:rFonts w:asciiTheme="minorHAnsi" w:hAnsiTheme="minorHAnsi"/>
          <w:noProof/>
        </w:rPr>
        <w:fldChar w:fldCharType="begin"/>
      </w:r>
      <w:r w:rsidRPr="00CA472B">
        <w:rPr>
          <w:rFonts w:asciiTheme="minorHAnsi" w:hAnsiTheme="minorHAnsi"/>
          <w:noProof/>
        </w:rPr>
        <w:instrText xml:space="preserve"> PAGEREF _Toc461027127 \h </w:instrText>
      </w:r>
      <w:r w:rsidRPr="00CA472B">
        <w:rPr>
          <w:rFonts w:asciiTheme="minorHAnsi" w:hAnsiTheme="minorHAnsi"/>
          <w:noProof/>
        </w:rPr>
      </w:r>
      <w:r w:rsidRPr="00CA472B">
        <w:rPr>
          <w:rFonts w:asciiTheme="minorHAnsi" w:hAnsiTheme="minorHAnsi"/>
          <w:noProof/>
        </w:rPr>
        <w:fldChar w:fldCharType="separate"/>
      </w:r>
      <w:r w:rsidR="00FF69F8">
        <w:rPr>
          <w:rFonts w:asciiTheme="minorHAnsi" w:hAnsiTheme="minorHAnsi"/>
          <w:noProof/>
        </w:rPr>
        <w:t>36</w:t>
      </w:r>
      <w:r w:rsidRPr="00CA472B">
        <w:rPr>
          <w:rFonts w:asciiTheme="minorHAnsi" w:hAnsiTheme="minorHAnsi"/>
          <w:noProof/>
        </w:rPr>
        <w:fldChar w:fldCharType="end"/>
      </w:r>
    </w:p>
    <w:p w:rsidR="00684591" w:rsidRPr="00CA472B" w:rsidRDefault="00684591" w:rsidP="00CA472B">
      <w:pPr>
        <w:pStyle w:val="TOC3"/>
        <w:rPr>
          <w:rFonts w:asciiTheme="minorHAnsi" w:eastAsiaTheme="minorEastAsia" w:hAnsiTheme="minorHAnsi" w:cstheme="minorBidi"/>
          <w:noProof/>
        </w:rPr>
      </w:pPr>
      <w:r w:rsidRPr="00CA472B">
        <w:rPr>
          <w:rFonts w:asciiTheme="minorHAnsi" w:hAnsiTheme="minorHAnsi"/>
          <w:noProof/>
        </w:rPr>
        <w:t>3.2.3</w:t>
      </w:r>
      <w:r w:rsidRPr="00CA472B">
        <w:rPr>
          <w:rFonts w:asciiTheme="minorHAnsi" w:eastAsiaTheme="minorEastAsia" w:hAnsiTheme="minorHAnsi" w:cstheme="minorBidi"/>
          <w:noProof/>
        </w:rPr>
        <w:tab/>
      </w:r>
      <w:r w:rsidRPr="00CA472B">
        <w:rPr>
          <w:rFonts w:asciiTheme="minorHAnsi" w:hAnsiTheme="minorHAnsi"/>
          <w:noProof/>
        </w:rPr>
        <w:t xml:space="preserve"> Emissions Reduction Benefit</w:t>
      </w:r>
      <w:r w:rsidRPr="00CA472B">
        <w:rPr>
          <w:rFonts w:asciiTheme="minorHAnsi" w:hAnsiTheme="minorHAnsi"/>
          <w:noProof/>
        </w:rPr>
        <w:tab/>
      </w:r>
      <w:r w:rsidRPr="00CA472B">
        <w:rPr>
          <w:rFonts w:asciiTheme="minorHAnsi" w:hAnsiTheme="minorHAnsi"/>
          <w:noProof/>
        </w:rPr>
        <w:fldChar w:fldCharType="begin"/>
      </w:r>
      <w:r w:rsidRPr="00CA472B">
        <w:rPr>
          <w:rFonts w:asciiTheme="minorHAnsi" w:hAnsiTheme="minorHAnsi"/>
          <w:noProof/>
        </w:rPr>
        <w:instrText xml:space="preserve"> PAGEREF _Toc461027128 \h </w:instrText>
      </w:r>
      <w:r w:rsidRPr="00CA472B">
        <w:rPr>
          <w:rFonts w:asciiTheme="minorHAnsi" w:hAnsiTheme="minorHAnsi"/>
          <w:noProof/>
        </w:rPr>
      </w:r>
      <w:r w:rsidRPr="00CA472B">
        <w:rPr>
          <w:rFonts w:asciiTheme="minorHAnsi" w:hAnsiTheme="minorHAnsi"/>
          <w:noProof/>
        </w:rPr>
        <w:fldChar w:fldCharType="separate"/>
      </w:r>
      <w:r w:rsidR="00FF69F8">
        <w:rPr>
          <w:rFonts w:asciiTheme="minorHAnsi" w:hAnsiTheme="minorHAnsi"/>
          <w:noProof/>
        </w:rPr>
        <w:t>38</w:t>
      </w:r>
      <w:r w:rsidRPr="00CA472B">
        <w:rPr>
          <w:rFonts w:asciiTheme="minorHAnsi" w:hAnsiTheme="minorHAnsi"/>
          <w:noProof/>
        </w:rPr>
        <w:fldChar w:fldCharType="end"/>
      </w:r>
    </w:p>
    <w:p w:rsidR="00684591" w:rsidRPr="00CA472B" w:rsidRDefault="00684591" w:rsidP="00CA472B">
      <w:pPr>
        <w:pStyle w:val="TOC3"/>
        <w:rPr>
          <w:rFonts w:asciiTheme="minorHAnsi" w:eastAsiaTheme="minorEastAsia" w:hAnsiTheme="minorHAnsi" w:cstheme="minorBidi"/>
          <w:noProof/>
        </w:rPr>
      </w:pPr>
      <w:r w:rsidRPr="00CA472B">
        <w:rPr>
          <w:rFonts w:asciiTheme="minorHAnsi" w:hAnsiTheme="minorHAnsi"/>
          <w:noProof/>
        </w:rPr>
        <w:t>3.2.4</w:t>
      </w:r>
      <w:r w:rsidRPr="00CA472B">
        <w:rPr>
          <w:rFonts w:asciiTheme="minorHAnsi" w:eastAsiaTheme="minorEastAsia" w:hAnsiTheme="minorHAnsi" w:cstheme="minorBidi"/>
          <w:noProof/>
        </w:rPr>
        <w:tab/>
      </w:r>
      <w:r w:rsidRPr="00CA472B">
        <w:rPr>
          <w:rFonts w:asciiTheme="minorHAnsi" w:hAnsiTheme="minorHAnsi"/>
          <w:noProof/>
        </w:rPr>
        <w:t xml:space="preserve"> Control Cost Estimates</w:t>
      </w:r>
      <w:r w:rsidRPr="00CA472B">
        <w:rPr>
          <w:rFonts w:asciiTheme="minorHAnsi" w:hAnsiTheme="minorHAnsi"/>
          <w:noProof/>
        </w:rPr>
        <w:tab/>
      </w:r>
      <w:r w:rsidRPr="00CA472B">
        <w:rPr>
          <w:rFonts w:asciiTheme="minorHAnsi" w:hAnsiTheme="minorHAnsi"/>
          <w:noProof/>
        </w:rPr>
        <w:fldChar w:fldCharType="begin"/>
      </w:r>
      <w:r w:rsidRPr="00CA472B">
        <w:rPr>
          <w:rFonts w:asciiTheme="minorHAnsi" w:hAnsiTheme="minorHAnsi"/>
          <w:noProof/>
        </w:rPr>
        <w:instrText xml:space="preserve"> PAGEREF _Toc461027129 \h </w:instrText>
      </w:r>
      <w:r w:rsidRPr="00CA472B">
        <w:rPr>
          <w:rFonts w:asciiTheme="minorHAnsi" w:hAnsiTheme="minorHAnsi"/>
          <w:noProof/>
        </w:rPr>
      </w:r>
      <w:r w:rsidRPr="00CA472B">
        <w:rPr>
          <w:rFonts w:asciiTheme="minorHAnsi" w:hAnsiTheme="minorHAnsi"/>
          <w:noProof/>
        </w:rPr>
        <w:fldChar w:fldCharType="separate"/>
      </w:r>
      <w:r w:rsidR="00FF69F8">
        <w:rPr>
          <w:rFonts w:asciiTheme="minorHAnsi" w:hAnsiTheme="minorHAnsi"/>
          <w:noProof/>
        </w:rPr>
        <w:t>39</w:t>
      </w:r>
      <w:r w:rsidRPr="00CA472B">
        <w:rPr>
          <w:rFonts w:asciiTheme="minorHAnsi" w:hAnsiTheme="minorHAnsi"/>
          <w:noProof/>
        </w:rPr>
        <w:fldChar w:fldCharType="end"/>
      </w:r>
    </w:p>
    <w:p w:rsidR="00684591" w:rsidRPr="00CA472B" w:rsidRDefault="00684591" w:rsidP="00CA472B">
      <w:pPr>
        <w:pStyle w:val="TOC3"/>
        <w:rPr>
          <w:rFonts w:asciiTheme="minorHAnsi" w:eastAsiaTheme="minorEastAsia" w:hAnsiTheme="minorHAnsi" w:cstheme="minorBidi"/>
          <w:noProof/>
        </w:rPr>
      </w:pPr>
      <w:r w:rsidRPr="00CA472B">
        <w:rPr>
          <w:rFonts w:asciiTheme="minorHAnsi" w:hAnsiTheme="minorHAnsi"/>
          <w:noProof/>
        </w:rPr>
        <w:t>3.2.5</w:t>
      </w:r>
      <w:r w:rsidRPr="00CA472B">
        <w:rPr>
          <w:rFonts w:asciiTheme="minorHAnsi" w:eastAsiaTheme="minorEastAsia" w:hAnsiTheme="minorHAnsi" w:cstheme="minorBidi"/>
          <w:noProof/>
        </w:rPr>
        <w:tab/>
      </w:r>
      <w:r w:rsidRPr="00CA472B">
        <w:rPr>
          <w:rFonts w:asciiTheme="minorHAnsi" w:hAnsiTheme="minorHAnsi"/>
          <w:noProof/>
        </w:rPr>
        <w:t xml:space="preserve"> Emissions Reduction Benefits for Other Pollutants</w:t>
      </w:r>
      <w:r w:rsidRPr="00CA472B">
        <w:rPr>
          <w:rFonts w:asciiTheme="minorHAnsi" w:hAnsiTheme="minorHAnsi"/>
          <w:noProof/>
        </w:rPr>
        <w:tab/>
      </w:r>
      <w:r w:rsidRPr="00CA472B">
        <w:rPr>
          <w:rFonts w:asciiTheme="minorHAnsi" w:hAnsiTheme="minorHAnsi"/>
          <w:noProof/>
        </w:rPr>
        <w:fldChar w:fldCharType="begin"/>
      </w:r>
      <w:r w:rsidRPr="00CA472B">
        <w:rPr>
          <w:rFonts w:asciiTheme="minorHAnsi" w:hAnsiTheme="minorHAnsi"/>
          <w:noProof/>
        </w:rPr>
        <w:instrText xml:space="preserve"> PAGEREF _Toc461027130 \h </w:instrText>
      </w:r>
      <w:r w:rsidRPr="00CA472B">
        <w:rPr>
          <w:rFonts w:asciiTheme="minorHAnsi" w:hAnsiTheme="minorHAnsi"/>
          <w:noProof/>
        </w:rPr>
      </w:r>
      <w:r w:rsidRPr="00CA472B">
        <w:rPr>
          <w:rFonts w:asciiTheme="minorHAnsi" w:hAnsiTheme="minorHAnsi"/>
          <w:noProof/>
        </w:rPr>
        <w:fldChar w:fldCharType="separate"/>
      </w:r>
      <w:r w:rsidR="00FF69F8">
        <w:rPr>
          <w:rFonts w:asciiTheme="minorHAnsi" w:hAnsiTheme="minorHAnsi"/>
          <w:noProof/>
        </w:rPr>
        <w:t>39</w:t>
      </w:r>
      <w:r w:rsidRPr="00CA472B">
        <w:rPr>
          <w:rFonts w:asciiTheme="minorHAnsi" w:hAnsiTheme="minorHAnsi"/>
          <w:noProof/>
        </w:rPr>
        <w:fldChar w:fldCharType="end"/>
      </w:r>
    </w:p>
    <w:p w:rsidR="00684591" w:rsidRPr="00CA472B" w:rsidRDefault="00684591">
      <w:pPr>
        <w:pStyle w:val="TOC2"/>
        <w:tabs>
          <w:tab w:val="left" w:pos="880"/>
          <w:tab w:val="right" w:leader="dot" w:pos="9350"/>
        </w:tabs>
        <w:rPr>
          <w:rFonts w:asciiTheme="minorHAnsi" w:eastAsiaTheme="minorEastAsia" w:hAnsiTheme="minorHAnsi" w:cstheme="minorBidi"/>
          <w:noProof/>
          <w:sz w:val="22"/>
          <w:szCs w:val="22"/>
        </w:rPr>
      </w:pPr>
      <w:r w:rsidRPr="00CA472B">
        <w:rPr>
          <w:rFonts w:asciiTheme="minorHAnsi" w:hAnsiTheme="minorHAnsi"/>
          <w:noProof/>
          <w:sz w:val="22"/>
          <w:szCs w:val="22"/>
        </w:rPr>
        <w:t>3.3.</w:t>
      </w:r>
      <w:r w:rsidRPr="00CA472B">
        <w:rPr>
          <w:rFonts w:asciiTheme="minorHAnsi" w:eastAsiaTheme="minorEastAsia" w:hAnsiTheme="minorHAnsi" w:cstheme="minorBidi"/>
          <w:noProof/>
          <w:sz w:val="22"/>
          <w:szCs w:val="22"/>
        </w:rPr>
        <w:tab/>
      </w:r>
      <w:r w:rsidRPr="00CA472B">
        <w:rPr>
          <w:rFonts w:asciiTheme="minorHAnsi" w:hAnsiTheme="minorHAnsi"/>
          <w:noProof/>
          <w:sz w:val="22"/>
          <w:szCs w:val="22"/>
        </w:rPr>
        <w:t>Performance Standards for High Electric Demand Day Combustion Turbines (HEDDCT)</w:t>
      </w:r>
      <w:r w:rsidRPr="00CA472B">
        <w:rPr>
          <w:rFonts w:asciiTheme="minorHAnsi" w:hAnsiTheme="minorHAnsi"/>
          <w:noProof/>
          <w:sz w:val="22"/>
          <w:szCs w:val="22"/>
        </w:rPr>
        <w:tab/>
      </w:r>
      <w:r w:rsidRPr="00CA472B">
        <w:rPr>
          <w:rFonts w:asciiTheme="minorHAnsi" w:hAnsiTheme="minorHAnsi"/>
          <w:noProof/>
          <w:sz w:val="22"/>
          <w:szCs w:val="22"/>
        </w:rPr>
        <w:fldChar w:fldCharType="begin"/>
      </w:r>
      <w:r w:rsidRPr="00CA472B">
        <w:rPr>
          <w:rFonts w:asciiTheme="minorHAnsi" w:hAnsiTheme="minorHAnsi"/>
          <w:noProof/>
          <w:sz w:val="22"/>
          <w:szCs w:val="22"/>
        </w:rPr>
        <w:instrText xml:space="preserve"> PAGEREF _Toc461027131 \h </w:instrText>
      </w:r>
      <w:r w:rsidRPr="00CA472B">
        <w:rPr>
          <w:rFonts w:asciiTheme="minorHAnsi" w:hAnsiTheme="minorHAnsi"/>
          <w:noProof/>
          <w:sz w:val="22"/>
          <w:szCs w:val="22"/>
        </w:rPr>
      </w:r>
      <w:r w:rsidRPr="00CA472B">
        <w:rPr>
          <w:rFonts w:asciiTheme="minorHAnsi" w:hAnsiTheme="minorHAnsi"/>
          <w:noProof/>
          <w:sz w:val="22"/>
          <w:szCs w:val="22"/>
        </w:rPr>
        <w:fldChar w:fldCharType="separate"/>
      </w:r>
      <w:r w:rsidR="00FF69F8">
        <w:rPr>
          <w:rFonts w:asciiTheme="minorHAnsi" w:hAnsiTheme="minorHAnsi"/>
          <w:noProof/>
          <w:sz w:val="22"/>
          <w:szCs w:val="22"/>
        </w:rPr>
        <w:t>39</w:t>
      </w:r>
      <w:r w:rsidRPr="00CA472B">
        <w:rPr>
          <w:rFonts w:asciiTheme="minorHAnsi" w:hAnsiTheme="minorHAnsi"/>
          <w:noProof/>
          <w:sz w:val="22"/>
          <w:szCs w:val="22"/>
        </w:rPr>
        <w:fldChar w:fldCharType="end"/>
      </w:r>
    </w:p>
    <w:p w:rsidR="00684591" w:rsidRPr="00CA472B" w:rsidRDefault="00684591" w:rsidP="00CA472B">
      <w:pPr>
        <w:pStyle w:val="TOC3"/>
        <w:rPr>
          <w:rFonts w:asciiTheme="minorHAnsi" w:eastAsiaTheme="minorEastAsia" w:hAnsiTheme="minorHAnsi" w:cstheme="minorBidi"/>
          <w:noProof/>
        </w:rPr>
      </w:pPr>
      <w:r w:rsidRPr="00CA472B">
        <w:rPr>
          <w:rFonts w:asciiTheme="minorHAnsi" w:hAnsiTheme="minorHAnsi"/>
          <w:noProof/>
        </w:rPr>
        <w:t>3.3.1</w:t>
      </w:r>
      <w:r w:rsidRPr="00CA472B">
        <w:rPr>
          <w:rFonts w:asciiTheme="minorHAnsi" w:eastAsiaTheme="minorEastAsia" w:hAnsiTheme="minorHAnsi" w:cstheme="minorBidi"/>
          <w:noProof/>
        </w:rPr>
        <w:tab/>
      </w:r>
      <w:r w:rsidRPr="00CA472B">
        <w:rPr>
          <w:rFonts w:asciiTheme="minorHAnsi" w:hAnsiTheme="minorHAnsi"/>
          <w:noProof/>
        </w:rPr>
        <w:t xml:space="preserve"> Federal Standards</w:t>
      </w:r>
      <w:r w:rsidRPr="00CA472B">
        <w:rPr>
          <w:rFonts w:asciiTheme="minorHAnsi" w:hAnsiTheme="minorHAnsi"/>
          <w:noProof/>
        </w:rPr>
        <w:tab/>
      </w:r>
      <w:r w:rsidRPr="00CA472B">
        <w:rPr>
          <w:rFonts w:asciiTheme="minorHAnsi" w:hAnsiTheme="minorHAnsi"/>
          <w:noProof/>
        </w:rPr>
        <w:fldChar w:fldCharType="begin"/>
      </w:r>
      <w:r w:rsidRPr="00CA472B">
        <w:rPr>
          <w:rFonts w:asciiTheme="minorHAnsi" w:hAnsiTheme="minorHAnsi"/>
          <w:noProof/>
        </w:rPr>
        <w:instrText xml:space="preserve"> PAGEREF _Toc461027132 \h </w:instrText>
      </w:r>
      <w:r w:rsidRPr="00CA472B">
        <w:rPr>
          <w:rFonts w:asciiTheme="minorHAnsi" w:hAnsiTheme="minorHAnsi"/>
          <w:noProof/>
        </w:rPr>
      </w:r>
      <w:r w:rsidRPr="00CA472B">
        <w:rPr>
          <w:rFonts w:asciiTheme="minorHAnsi" w:hAnsiTheme="minorHAnsi"/>
          <w:noProof/>
        </w:rPr>
        <w:fldChar w:fldCharType="separate"/>
      </w:r>
      <w:r w:rsidR="00FF69F8">
        <w:rPr>
          <w:rFonts w:asciiTheme="minorHAnsi" w:hAnsiTheme="minorHAnsi"/>
          <w:noProof/>
        </w:rPr>
        <w:t>40</w:t>
      </w:r>
      <w:r w:rsidRPr="00CA472B">
        <w:rPr>
          <w:rFonts w:asciiTheme="minorHAnsi" w:hAnsiTheme="minorHAnsi"/>
          <w:noProof/>
        </w:rPr>
        <w:fldChar w:fldCharType="end"/>
      </w:r>
    </w:p>
    <w:p w:rsidR="00684591" w:rsidRPr="00CA472B" w:rsidRDefault="00684591" w:rsidP="00CA472B">
      <w:pPr>
        <w:pStyle w:val="TOC3"/>
        <w:rPr>
          <w:rFonts w:asciiTheme="minorHAnsi" w:eastAsiaTheme="minorEastAsia" w:hAnsiTheme="minorHAnsi" w:cstheme="minorBidi"/>
          <w:noProof/>
        </w:rPr>
      </w:pPr>
      <w:r w:rsidRPr="00CA472B">
        <w:rPr>
          <w:rFonts w:asciiTheme="minorHAnsi" w:hAnsiTheme="minorHAnsi"/>
          <w:noProof/>
        </w:rPr>
        <w:t>3.3.2</w:t>
      </w:r>
      <w:r w:rsidRPr="00CA472B">
        <w:rPr>
          <w:rFonts w:asciiTheme="minorHAnsi" w:eastAsiaTheme="minorEastAsia" w:hAnsiTheme="minorHAnsi" w:cstheme="minorBidi"/>
          <w:noProof/>
        </w:rPr>
        <w:tab/>
      </w:r>
      <w:r w:rsidRPr="00CA472B">
        <w:rPr>
          <w:rFonts w:asciiTheme="minorHAnsi" w:hAnsiTheme="minorHAnsi"/>
          <w:noProof/>
        </w:rPr>
        <w:t xml:space="preserve"> The OTC Measure</w:t>
      </w:r>
      <w:r w:rsidRPr="00CA472B">
        <w:rPr>
          <w:rFonts w:asciiTheme="minorHAnsi" w:hAnsiTheme="minorHAnsi"/>
          <w:noProof/>
        </w:rPr>
        <w:tab/>
      </w:r>
      <w:r w:rsidRPr="00CA472B">
        <w:rPr>
          <w:rFonts w:asciiTheme="minorHAnsi" w:hAnsiTheme="minorHAnsi"/>
          <w:noProof/>
        </w:rPr>
        <w:fldChar w:fldCharType="begin"/>
      </w:r>
      <w:r w:rsidRPr="00CA472B">
        <w:rPr>
          <w:rFonts w:asciiTheme="minorHAnsi" w:hAnsiTheme="minorHAnsi"/>
          <w:noProof/>
        </w:rPr>
        <w:instrText xml:space="preserve"> PAGEREF _Toc461027133 \h </w:instrText>
      </w:r>
      <w:r w:rsidRPr="00CA472B">
        <w:rPr>
          <w:rFonts w:asciiTheme="minorHAnsi" w:hAnsiTheme="minorHAnsi"/>
          <w:noProof/>
        </w:rPr>
      </w:r>
      <w:r w:rsidRPr="00CA472B">
        <w:rPr>
          <w:rFonts w:asciiTheme="minorHAnsi" w:hAnsiTheme="minorHAnsi"/>
          <w:noProof/>
        </w:rPr>
        <w:fldChar w:fldCharType="separate"/>
      </w:r>
      <w:r w:rsidR="00FF69F8">
        <w:rPr>
          <w:rFonts w:asciiTheme="minorHAnsi" w:hAnsiTheme="minorHAnsi"/>
          <w:noProof/>
        </w:rPr>
        <w:t>41</w:t>
      </w:r>
      <w:r w:rsidRPr="00CA472B">
        <w:rPr>
          <w:rFonts w:asciiTheme="minorHAnsi" w:hAnsiTheme="minorHAnsi"/>
          <w:noProof/>
        </w:rPr>
        <w:fldChar w:fldCharType="end"/>
      </w:r>
    </w:p>
    <w:p w:rsidR="00684591" w:rsidRPr="00CA472B" w:rsidRDefault="00684591">
      <w:pPr>
        <w:pStyle w:val="TOC4"/>
        <w:rPr>
          <w:rFonts w:asciiTheme="minorHAnsi" w:eastAsiaTheme="minorEastAsia" w:hAnsiTheme="minorHAnsi"/>
          <w:noProof/>
          <w:sz w:val="22"/>
        </w:rPr>
      </w:pPr>
      <w:r w:rsidRPr="00CA472B">
        <w:rPr>
          <w:rFonts w:asciiTheme="minorHAnsi" w:hAnsiTheme="minorHAnsi"/>
          <w:noProof/>
          <w:sz w:val="22"/>
        </w:rPr>
        <w:t>3.3.2.1</w:t>
      </w:r>
      <w:r w:rsidRPr="00CA472B">
        <w:rPr>
          <w:rFonts w:asciiTheme="minorHAnsi" w:eastAsiaTheme="minorEastAsia" w:hAnsiTheme="minorHAnsi"/>
          <w:noProof/>
          <w:sz w:val="22"/>
        </w:rPr>
        <w:tab/>
      </w:r>
      <w:r w:rsidRPr="00CA472B">
        <w:rPr>
          <w:rFonts w:asciiTheme="minorHAnsi" w:hAnsiTheme="minorHAnsi"/>
          <w:noProof/>
          <w:sz w:val="22"/>
        </w:rPr>
        <w:t>Performance Standards</w:t>
      </w:r>
      <w:r w:rsidRPr="00CA472B">
        <w:rPr>
          <w:rFonts w:asciiTheme="minorHAnsi" w:hAnsiTheme="minorHAnsi"/>
          <w:noProof/>
          <w:sz w:val="22"/>
        </w:rPr>
        <w:tab/>
      </w:r>
      <w:r w:rsidRPr="00CA472B">
        <w:rPr>
          <w:rFonts w:asciiTheme="minorHAnsi" w:hAnsiTheme="minorHAnsi"/>
          <w:noProof/>
          <w:sz w:val="22"/>
        </w:rPr>
        <w:fldChar w:fldCharType="begin"/>
      </w:r>
      <w:r w:rsidRPr="00CA472B">
        <w:rPr>
          <w:rFonts w:asciiTheme="minorHAnsi" w:hAnsiTheme="minorHAnsi"/>
          <w:noProof/>
          <w:sz w:val="22"/>
        </w:rPr>
        <w:instrText xml:space="preserve"> PAGEREF _Toc461027134 \h </w:instrText>
      </w:r>
      <w:r w:rsidRPr="00CA472B">
        <w:rPr>
          <w:rFonts w:asciiTheme="minorHAnsi" w:hAnsiTheme="minorHAnsi"/>
          <w:noProof/>
          <w:sz w:val="22"/>
        </w:rPr>
      </w:r>
      <w:r w:rsidRPr="00CA472B">
        <w:rPr>
          <w:rFonts w:asciiTheme="minorHAnsi" w:hAnsiTheme="minorHAnsi"/>
          <w:noProof/>
          <w:sz w:val="22"/>
        </w:rPr>
        <w:fldChar w:fldCharType="separate"/>
      </w:r>
      <w:r w:rsidR="00FF69F8">
        <w:rPr>
          <w:rFonts w:asciiTheme="minorHAnsi" w:hAnsiTheme="minorHAnsi"/>
          <w:noProof/>
          <w:sz w:val="22"/>
        </w:rPr>
        <w:t>41</w:t>
      </w:r>
      <w:r w:rsidRPr="00CA472B">
        <w:rPr>
          <w:rFonts w:asciiTheme="minorHAnsi" w:hAnsiTheme="minorHAnsi"/>
          <w:noProof/>
          <w:sz w:val="22"/>
        </w:rPr>
        <w:fldChar w:fldCharType="end"/>
      </w:r>
    </w:p>
    <w:p w:rsidR="00684591" w:rsidRPr="00CA472B" w:rsidRDefault="00684591" w:rsidP="00CA472B">
      <w:pPr>
        <w:pStyle w:val="TOC3"/>
        <w:rPr>
          <w:rFonts w:asciiTheme="minorHAnsi" w:eastAsiaTheme="minorEastAsia" w:hAnsiTheme="minorHAnsi" w:cstheme="minorBidi"/>
          <w:noProof/>
        </w:rPr>
      </w:pPr>
      <w:r w:rsidRPr="00CA472B">
        <w:rPr>
          <w:rFonts w:asciiTheme="minorHAnsi" w:hAnsiTheme="minorHAnsi"/>
          <w:noProof/>
        </w:rPr>
        <w:t>3.3.2.2</w:t>
      </w:r>
      <w:r w:rsidRPr="00CA472B">
        <w:rPr>
          <w:rFonts w:asciiTheme="minorHAnsi" w:eastAsiaTheme="minorEastAsia" w:hAnsiTheme="minorHAnsi" w:cstheme="minorBidi"/>
          <w:noProof/>
        </w:rPr>
        <w:tab/>
      </w:r>
      <w:r w:rsidRPr="00CA472B">
        <w:rPr>
          <w:rFonts w:asciiTheme="minorHAnsi" w:hAnsiTheme="minorHAnsi"/>
          <w:noProof/>
        </w:rPr>
        <w:t>Combustion Process Adjustment</w:t>
      </w:r>
      <w:r w:rsidRPr="00CA472B">
        <w:rPr>
          <w:rFonts w:asciiTheme="minorHAnsi" w:hAnsiTheme="minorHAnsi"/>
          <w:noProof/>
        </w:rPr>
        <w:tab/>
      </w:r>
      <w:r w:rsidRPr="00CA472B">
        <w:rPr>
          <w:rFonts w:asciiTheme="minorHAnsi" w:hAnsiTheme="minorHAnsi"/>
          <w:noProof/>
        </w:rPr>
        <w:fldChar w:fldCharType="begin"/>
      </w:r>
      <w:r w:rsidRPr="00CA472B">
        <w:rPr>
          <w:rFonts w:asciiTheme="minorHAnsi" w:hAnsiTheme="minorHAnsi"/>
          <w:noProof/>
        </w:rPr>
        <w:instrText xml:space="preserve"> PAGEREF _Toc461027135 \h </w:instrText>
      </w:r>
      <w:r w:rsidRPr="00CA472B">
        <w:rPr>
          <w:rFonts w:asciiTheme="minorHAnsi" w:hAnsiTheme="minorHAnsi"/>
          <w:noProof/>
        </w:rPr>
      </w:r>
      <w:r w:rsidRPr="00CA472B">
        <w:rPr>
          <w:rFonts w:asciiTheme="minorHAnsi" w:hAnsiTheme="minorHAnsi"/>
          <w:noProof/>
        </w:rPr>
        <w:fldChar w:fldCharType="separate"/>
      </w:r>
      <w:r w:rsidR="00FF69F8">
        <w:rPr>
          <w:rFonts w:asciiTheme="minorHAnsi" w:hAnsiTheme="minorHAnsi"/>
          <w:noProof/>
        </w:rPr>
        <w:t>41</w:t>
      </w:r>
      <w:r w:rsidRPr="00CA472B">
        <w:rPr>
          <w:rFonts w:asciiTheme="minorHAnsi" w:hAnsiTheme="minorHAnsi"/>
          <w:noProof/>
        </w:rPr>
        <w:fldChar w:fldCharType="end"/>
      </w:r>
    </w:p>
    <w:p w:rsidR="00684591" w:rsidRPr="00CA472B" w:rsidRDefault="00684591">
      <w:pPr>
        <w:pStyle w:val="TOC4"/>
        <w:rPr>
          <w:rFonts w:asciiTheme="minorHAnsi" w:eastAsiaTheme="minorEastAsia" w:hAnsiTheme="minorHAnsi"/>
          <w:noProof/>
          <w:sz w:val="22"/>
        </w:rPr>
      </w:pPr>
      <w:r w:rsidRPr="00CA472B">
        <w:rPr>
          <w:rFonts w:asciiTheme="minorHAnsi" w:hAnsiTheme="minorHAnsi"/>
          <w:noProof/>
          <w:sz w:val="22"/>
        </w:rPr>
        <w:t>3.3.2.3</w:t>
      </w:r>
      <w:r w:rsidRPr="00CA472B">
        <w:rPr>
          <w:rFonts w:asciiTheme="minorHAnsi" w:eastAsiaTheme="minorEastAsia" w:hAnsiTheme="minorHAnsi"/>
          <w:noProof/>
          <w:sz w:val="22"/>
        </w:rPr>
        <w:tab/>
      </w:r>
      <w:r w:rsidRPr="00CA472B">
        <w:rPr>
          <w:rFonts w:asciiTheme="minorHAnsi" w:hAnsiTheme="minorHAnsi"/>
          <w:noProof/>
          <w:sz w:val="22"/>
        </w:rPr>
        <w:t>Alternate RACT Provision</w:t>
      </w:r>
      <w:r w:rsidRPr="00CA472B">
        <w:rPr>
          <w:rFonts w:asciiTheme="minorHAnsi" w:hAnsiTheme="minorHAnsi"/>
          <w:noProof/>
          <w:sz w:val="22"/>
        </w:rPr>
        <w:tab/>
      </w:r>
      <w:r w:rsidRPr="00CA472B">
        <w:rPr>
          <w:rFonts w:asciiTheme="minorHAnsi" w:hAnsiTheme="minorHAnsi"/>
          <w:noProof/>
          <w:sz w:val="22"/>
        </w:rPr>
        <w:fldChar w:fldCharType="begin"/>
      </w:r>
      <w:r w:rsidRPr="00CA472B">
        <w:rPr>
          <w:rFonts w:asciiTheme="minorHAnsi" w:hAnsiTheme="minorHAnsi"/>
          <w:noProof/>
          <w:sz w:val="22"/>
        </w:rPr>
        <w:instrText xml:space="preserve"> PAGEREF _Toc461027136 \h </w:instrText>
      </w:r>
      <w:r w:rsidRPr="00CA472B">
        <w:rPr>
          <w:rFonts w:asciiTheme="minorHAnsi" w:hAnsiTheme="minorHAnsi"/>
          <w:noProof/>
          <w:sz w:val="22"/>
        </w:rPr>
      </w:r>
      <w:r w:rsidRPr="00CA472B">
        <w:rPr>
          <w:rFonts w:asciiTheme="minorHAnsi" w:hAnsiTheme="minorHAnsi"/>
          <w:noProof/>
          <w:sz w:val="22"/>
        </w:rPr>
        <w:fldChar w:fldCharType="separate"/>
      </w:r>
      <w:r w:rsidR="00FF69F8">
        <w:rPr>
          <w:rFonts w:asciiTheme="minorHAnsi" w:hAnsiTheme="minorHAnsi"/>
          <w:noProof/>
          <w:sz w:val="22"/>
        </w:rPr>
        <w:t>42</w:t>
      </w:r>
      <w:r w:rsidRPr="00CA472B">
        <w:rPr>
          <w:rFonts w:asciiTheme="minorHAnsi" w:hAnsiTheme="minorHAnsi"/>
          <w:noProof/>
          <w:sz w:val="22"/>
        </w:rPr>
        <w:fldChar w:fldCharType="end"/>
      </w:r>
    </w:p>
    <w:p w:rsidR="00684591" w:rsidRPr="00CA472B" w:rsidRDefault="00684591" w:rsidP="00CA472B">
      <w:pPr>
        <w:pStyle w:val="TOC3"/>
        <w:rPr>
          <w:rFonts w:asciiTheme="minorHAnsi" w:eastAsiaTheme="minorEastAsia" w:hAnsiTheme="minorHAnsi" w:cstheme="minorBidi"/>
          <w:noProof/>
        </w:rPr>
      </w:pPr>
      <w:r w:rsidRPr="00CA472B">
        <w:rPr>
          <w:rFonts w:asciiTheme="minorHAnsi" w:hAnsiTheme="minorHAnsi"/>
          <w:noProof/>
        </w:rPr>
        <w:t>3.3.3</w:t>
      </w:r>
      <w:r w:rsidRPr="00CA472B">
        <w:rPr>
          <w:rFonts w:asciiTheme="minorHAnsi" w:eastAsiaTheme="minorEastAsia" w:hAnsiTheme="minorHAnsi" w:cstheme="minorBidi"/>
          <w:noProof/>
        </w:rPr>
        <w:tab/>
      </w:r>
      <w:r w:rsidRPr="00CA472B">
        <w:rPr>
          <w:rFonts w:asciiTheme="minorHAnsi" w:hAnsiTheme="minorHAnsi"/>
          <w:noProof/>
        </w:rPr>
        <w:t xml:space="preserve"> Emissions Reduction Benefit</w:t>
      </w:r>
      <w:r w:rsidRPr="00CA472B">
        <w:rPr>
          <w:rFonts w:asciiTheme="minorHAnsi" w:hAnsiTheme="minorHAnsi"/>
          <w:noProof/>
        </w:rPr>
        <w:tab/>
      </w:r>
      <w:r w:rsidRPr="00CA472B">
        <w:rPr>
          <w:rFonts w:asciiTheme="minorHAnsi" w:hAnsiTheme="minorHAnsi"/>
          <w:noProof/>
        </w:rPr>
        <w:fldChar w:fldCharType="begin"/>
      </w:r>
      <w:r w:rsidRPr="00CA472B">
        <w:rPr>
          <w:rFonts w:asciiTheme="minorHAnsi" w:hAnsiTheme="minorHAnsi"/>
          <w:noProof/>
        </w:rPr>
        <w:instrText xml:space="preserve"> PAGEREF _Toc461027137 \h </w:instrText>
      </w:r>
      <w:r w:rsidRPr="00CA472B">
        <w:rPr>
          <w:rFonts w:asciiTheme="minorHAnsi" w:hAnsiTheme="minorHAnsi"/>
          <w:noProof/>
        </w:rPr>
      </w:r>
      <w:r w:rsidRPr="00CA472B">
        <w:rPr>
          <w:rFonts w:asciiTheme="minorHAnsi" w:hAnsiTheme="minorHAnsi"/>
          <w:noProof/>
        </w:rPr>
        <w:fldChar w:fldCharType="separate"/>
      </w:r>
      <w:r w:rsidR="00FF69F8">
        <w:rPr>
          <w:rFonts w:asciiTheme="minorHAnsi" w:hAnsiTheme="minorHAnsi"/>
          <w:noProof/>
        </w:rPr>
        <w:t>42</w:t>
      </w:r>
      <w:r w:rsidRPr="00CA472B">
        <w:rPr>
          <w:rFonts w:asciiTheme="minorHAnsi" w:hAnsiTheme="minorHAnsi"/>
          <w:noProof/>
        </w:rPr>
        <w:fldChar w:fldCharType="end"/>
      </w:r>
    </w:p>
    <w:p w:rsidR="00684591" w:rsidRPr="00CA472B" w:rsidRDefault="00684591" w:rsidP="00CA472B">
      <w:pPr>
        <w:pStyle w:val="TOC3"/>
        <w:rPr>
          <w:rFonts w:asciiTheme="minorHAnsi" w:eastAsiaTheme="minorEastAsia" w:hAnsiTheme="minorHAnsi" w:cstheme="minorBidi"/>
          <w:noProof/>
        </w:rPr>
      </w:pPr>
      <w:r w:rsidRPr="00CA472B">
        <w:rPr>
          <w:rFonts w:asciiTheme="minorHAnsi" w:hAnsiTheme="minorHAnsi"/>
          <w:noProof/>
        </w:rPr>
        <w:t>3.3.4</w:t>
      </w:r>
      <w:r w:rsidRPr="00CA472B">
        <w:rPr>
          <w:rFonts w:asciiTheme="minorHAnsi" w:eastAsiaTheme="minorEastAsia" w:hAnsiTheme="minorHAnsi" w:cstheme="minorBidi"/>
          <w:noProof/>
        </w:rPr>
        <w:tab/>
      </w:r>
      <w:r w:rsidRPr="00CA472B">
        <w:rPr>
          <w:rFonts w:asciiTheme="minorHAnsi" w:hAnsiTheme="minorHAnsi"/>
          <w:noProof/>
        </w:rPr>
        <w:t xml:space="preserve"> Control Cost Estimates</w:t>
      </w:r>
      <w:r w:rsidRPr="00CA472B">
        <w:rPr>
          <w:rFonts w:asciiTheme="minorHAnsi" w:hAnsiTheme="minorHAnsi"/>
          <w:noProof/>
        </w:rPr>
        <w:tab/>
      </w:r>
      <w:r w:rsidRPr="00CA472B">
        <w:rPr>
          <w:rFonts w:asciiTheme="minorHAnsi" w:hAnsiTheme="minorHAnsi"/>
          <w:noProof/>
        </w:rPr>
        <w:fldChar w:fldCharType="begin"/>
      </w:r>
      <w:r w:rsidRPr="00CA472B">
        <w:rPr>
          <w:rFonts w:asciiTheme="minorHAnsi" w:hAnsiTheme="minorHAnsi"/>
          <w:noProof/>
        </w:rPr>
        <w:instrText xml:space="preserve"> PAGEREF _Toc461027138 \h </w:instrText>
      </w:r>
      <w:r w:rsidRPr="00CA472B">
        <w:rPr>
          <w:rFonts w:asciiTheme="minorHAnsi" w:hAnsiTheme="minorHAnsi"/>
          <w:noProof/>
        </w:rPr>
      </w:r>
      <w:r w:rsidRPr="00CA472B">
        <w:rPr>
          <w:rFonts w:asciiTheme="minorHAnsi" w:hAnsiTheme="minorHAnsi"/>
          <w:noProof/>
        </w:rPr>
        <w:fldChar w:fldCharType="separate"/>
      </w:r>
      <w:r w:rsidR="00FF69F8">
        <w:rPr>
          <w:rFonts w:asciiTheme="minorHAnsi" w:hAnsiTheme="minorHAnsi"/>
          <w:noProof/>
        </w:rPr>
        <w:t>43</w:t>
      </w:r>
      <w:r w:rsidRPr="00CA472B">
        <w:rPr>
          <w:rFonts w:asciiTheme="minorHAnsi" w:hAnsiTheme="minorHAnsi"/>
          <w:noProof/>
        </w:rPr>
        <w:fldChar w:fldCharType="end"/>
      </w:r>
    </w:p>
    <w:p w:rsidR="00684591" w:rsidRPr="00CA472B" w:rsidRDefault="00684591" w:rsidP="00CA472B">
      <w:pPr>
        <w:pStyle w:val="TOC3"/>
        <w:rPr>
          <w:rFonts w:asciiTheme="minorHAnsi" w:eastAsiaTheme="minorEastAsia" w:hAnsiTheme="minorHAnsi" w:cstheme="minorBidi"/>
          <w:noProof/>
        </w:rPr>
      </w:pPr>
      <w:r w:rsidRPr="00CA472B">
        <w:rPr>
          <w:rFonts w:asciiTheme="minorHAnsi" w:hAnsiTheme="minorHAnsi"/>
          <w:noProof/>
        </w:rPr>
        <w:t>3.3.5</w:t>
      </w:r>
      <w:r w:rsidRPr="00CA472B">
        <w:rPr>
          <w:rFonts w:asciiTheme="minorHAnsi" w:eastAsiaTheme="minorEastAsia" w:hAnsiTheme="minorHAnsi" w:cstheme="minorBidi"/>
          <w:noProof/>
        </w:rPr>
        <w:tab/>
      </w:r>
      <w:r w:rsidRPr="00CA472B">
        <w:rPr>
          <w:rFonts w:asciiTheme="minorHAnsi" w:hAnsiTheme="minorHAnsi"/>
          <w:noProof/>
        </w:rPr>
        <w:t xml:space="preserve"> Emissions Reduction Benefits for Other Pollutants</w:t>
      </w:r>
      <w:r w:rsidRPr="00CA472B">
        <w:rPr>
          <w:rFonts w:asciiTheme="minorHAnsi" w:hAnsiTheme="minorHAnsi"/>
          <w:noProof/>
        </w:rPr>
        <w:tab/>
      </w:r>
      <w:r w:rsidRPr="00CA472B">
        <w:rPr>
          <w:rFonts w:asciiTheme="minorHAnsi" w:hAnsiTheme="minorHAnsi"/>
          <w:noProof/>
        </w:rPr>
        <w:fldChar w:fldCharType="begin"/>
      </w:r>
      <w:r w:rsidRPr="00CA472B">
        <w:rPr>
          <w:rFonts w:asciiTheme="minorHAnsi" w:hAnsiTheme="minorHAnsi"/>
          <w:noProof/>
        </w:rPr>
        <w:instrText xml:space="preserve"> PAGEREF _Toc461027139 \h </w:instrText>
      </w:r>
      <w:r w:rsidRPr="00CA472B">
        <w:rPr>
          <w:rFonts w:asciiTheme="minorHAnsi" w:hAnsiTheme="minorHAnsi"/>
          <w:noProof/>
        </w:rPr>
      </w:r>
      <w:r w:rsidRPr="00CA472B">
        <w:rPr>
          <w:rFonts w:asciiTheme="minorHAnsi" w:hAnsiTheme="minorHAnsi"/>
          <w:noProof/>
        </w:rPr>
        <w:fldChar w:fldCharType="separate"/>
      </w:r>
      <w:r w:rsidR="00FF69F8">
        <w:rPr>
          <w:rFonts w:asciiTheme="minorHAnsi" w:hAnsiTheme="minorHAnsi"/>
          <w:noProof/>
        </w:rPr>
        <w:t>43</w:t>
      </w:r>
      <w:r w:rsidRPr="00CA472B">
        <w:rPr>
          <w:rFonts w:asciiTheme="minorHAnsi" w:hAnsiTheme="minorHAnsi"/>
          <w:noProof/>
        </w:rPr>
        <w:fldChar w:fldCharType="end"/>
      </w:r>
    </w:p>
    <w:p w:rsidR="00684591" w:rsidRPr="00CA472B" w:rsidRDefault="00684591">
      <w:pPr>
        <w:pStyle w:val="TOC2"/>
        <w:tabs>
          <w:tab w:val="left" w:pos="880"/>
          <w:tab w:val="right" w:leader="dot" w:pos="9350"/>
        </w:tabs>
        <w:rPr>
          <w:rFonts w:asciiTheme="minorHAnsi" w:eastAsiaTheme="minorEastAsia" w:hAnsiTheme="minorHAnsi" w:cstheme="minorBidi"/>
          <w:noProof/>
          <w:sz w:val="22"/>
          <w:szCs w:val="22"/>
        </w:rPr>
      </w:pPr>
      <w:r w:rsidRPr="00CA472B">
        <w:rPr>
          <w:rFonts w:asciiTheme="minorHAnsi" w:hAnsiTheme="minorHAnsi"/>
          <w:noProof/>
          <w:sz w:val="22"/>
          <w:szCs w:val="22"/>
        </w:rPr>
        <w:t>3.4</w:t>
      </w:r>
      <w:r w:rsidRPr="00CA472B">
        <w:rPr>
          <w:rFonts w:asciiTheme="minorHAnsi" w:eastAsiaTheme="minorEastAsia" w:hAnsiTheme="minorHAnsi" w:cstheme="minorBidi"/>
          <w:noProof/>
          <w:sz w:val="22"/>
          <w:szCs w:val="22"/>
        </w:rPr>
        <w:tab/>
      </w:r>
      <w:r w:rsidRPr="00CA472B">
        <w:rPr>
          <w:rFonts w:asciiTheme="minorHAnsi" w:hAnsiTheme="minorHAnsi"/>
          <w:noProof/>
          <w:sz w:val="22"/>
          <w:szCs w:val="22"/>
        </w:rPr>
        <w:t>Oil and Gas Boilers Serving Electric Generating Units (EGUs)</w:t>
      </w:r>
      <w:r w:rsidRPr="00CA472B">
        <w:rPr>
          <w:rFonts w:asciiTheme="minorHAnsi" w:hAnsiTheme="minorHAnsi"/>
          <w:noProof/>
          <w:sz w:val="22"/>
          <w:szCs w:val="22"/>
        </w:rPr>
        <w:tab/>
      </w:r>
      <w:r w:rsidRPr="00CA472B">
        <w:rPr>
          <w:rFonts w:asciiTheme="minorHAnsi" w:hAnsiTheme="minorHAnsi"/>
          <w:noProof/>
          <w:sz w:val="22"/>
          <w:szCs w:val="22"/>
        </w:rPr>
        <w:fldChar w:fldCharType="begin"/>
      </w:r>
      <w:r w:rsidRPr="00CA472B">
        <w:rPr>
          <w:rFonts w:asciiTheme="minorHAnsi" w:hAnsiTheme="minorHAnsi"/>
          <w:noProof/>
          <w:sz w:val="22"/>
          <w:szCs w:val="22"/>
        </w:rPr>
        <w:instrText xml:space="preserve"> PAGEREF _Toc461027140 \h </w:instrText>
      </w:r>
      <w:r w:rsidRPr="00CA472B">
        <w:rPr>
          <w:rFonts w:asciiTheme="minorHAnsi" w:hAnsiTheme="minorHAnsi"/>
          <w:noProof/>
          <w:sz w:val="22"/>
          <w:szCs w:val="22"/>
        </w:rPr>
      </w:r>
      <w:r w:rsidRPr="00CA472B">
        <w:rPr>
          <w:rFonts w:asciiTheme="minorHAnsi" w:hAnsiTheme="minorHAnsi"/>
          <w:noProof/>
          <w:sz w:val="22"/>
          <w:szCs w:val="22"/>
        </w:rPr>
        <w:fldChar w:fldCharType="separate"/>
      </w:r>
      <w:r w:rsidR="00FF69F8">
        <w:rPr>
          <w:rFonts w:asciiTheme="minorHAnsi" w:hAnsiTheme="minorHAnsi"/>
          <w:noProof/>
          <w:sz w:val="22"/>
          <w:szCs w:val="22"/>
        </w:rPr>
        <w:t>43</w:t>
      </w:r>
      <w:r w:rsidRPr="00CA472B">
        <w:rPr>
          <w:rFonts w:asciiTheme="minorHAnsi" w:hAnsiTheme="minorHAnsi"/>
          <w:noProof/>
          <w:sz w:val="22"/>
          <w:szCs w:val="22"/>
        </w:rPr>
        <w:fldChar w:fldCharType="end"/>
      </w:r>
    </w:p>
    <w:p w:rsidR="00684591" w:rsidRPr="00CA472B" w:rsidRDefault="00684591" w:rsidP="00CA472B">
      <w:pPr>
        <w:pStyle w:val="TOC3"/>
        <w:rPr>
          <w:rFonts w:asciiTheme="minorHAnsi" w:eastAsiaTheme="minorEastAsia" w:hAnsiTheme="minorHAnsi" w:cstheme="minorBidi"/>
          <w:noProof/>
        </w:rPr>
      </w:pPr>
      <w:r w:rsidRPr="00CA472B">
        <w:rPr>
          <w:rFonts w:asciiTheme="minorHAnsi" w:hAnsiTheme="minorHAnsi"/>
          <w:noProof/>
        </w:rPr>
        <w:t>3.4.1</w:t>
      </w:r>
      <w:r w:rsidRPr="00CA472B">
        <w:rPr>
          <w:rFonts w:asciiTheme="minorHAnsi" w:eastAsiaTheme="minorEastAsia" w:hAnsiTheme="minorHAnsi" w:cstheme="minorBidi"/>
          <w:noProof/>
        </w:rPr>
        <w:tab/>
      </w:r>
      <w:r w:rsidRPr="00CA472B">
        <w:rPr>
          <w:rFonts w:asciiTheme="minorHAnsi" w:hAnsiTheme="minorHAnsi"/>
          <w:noProof/>
        </w:rPr>
        <w:t xml:space="preserve"> Federal Standards</w:t>
      </w:r>
      <w:r w:rsidRPr="00CA472B">
        <w:rPr>
          <w:rFonts w:asciiTheme="minorHAnsi" w:hAnsiTheme="minorHAnsi"/>
          <w:noProof/>
        </w:rPr>
        <w:tab/>
      </w:r>
      <w:r w:rsidRPr="00CA472B">
        <w:rPr>
          <w:rFonts w:asciiTheme="minorHAnsi" w:hAnsiTheme="minorHAnsi"/>
          <w:noProof/>
        </w:rPr>
        <w:fldChar w:fldCharType="begin"/>
      </w:r>
      <w:r w:rsidRPr="00CA472B">
        <w:rPr>
          <w:rFonts w:asciiTheme="minorHAnsi" w:hAnsiTheme="minorHAnsi"/>
          <w:noProof/>
        </w:rPr>
        <w:instrText xml:space="preserve"> PAGEREF _Toc461027141 \h </w:instrText>
      </w:r>
      <w:r w:rsidRPr="00CA472B">
        <w:rPr>
          <w:rFonts w:asciiTheme="minorHAnsi" w:hAnsiTheme="minorHAnsi"/>
          <w:noProof/>
        </w:rPr>
      </w:r>
      <w:r w:rsidRPr="00CA472B">
        <w:rPr>
          <w:rFonts w:asciiTheme="minorHAnsi" w:hAnsiTheme="minorHAnsi"/>
          <w:noProof/>
        </w:rPr>
        <w:fldChar w:fldCharType="separate"/>
      </w:r>
      <w:r w:rsidR="00FF69F8">
        <w:rPr>
          <w:rFonts w:asciiTheme="minorHAnsi" w:hAnsiTheme="minorHAnsi"/>
          <w:noProof/>
        </w:rPr>
        <w:t>44</w:t>
      </w:r>
      <w:r w:rsidRPr="00CA472B">
        <w:rPr>
          <w:rFonts w:asciiTheme="minorHAnsi" w:hAnsiTheme="minorHAnsi"/>
          <w:noProof/>
        </w:rPr>
        <w:fldChar w:fldCharType="end"/>
      </w:r>
    </w:p>
    <w:p w:rsidR="00684591" w:rsidRPr="00CA472B" w:rsidRDefault="00684591">
      <w:pPr>
        <w:pStyle w:val="TOC1"/>
        <w:rPr>
          <w:rFonts w:eastAsiaTheme="minorEastAsia" w:cstheme="minorBidi"/>
          <w:noProof/>
          <w:sz w:val="22"/>
          <w:szCs w:val="22"/>
        </w:rPr>
      </w:pPr>
      <w:r w:rsidRPr="00CA472B">
        <w:rPr>
          <w:noProof/>
          <w:sz w:val="22"/>
          <w:szCs w:val="22"/>
        </w:rPr>
        <w:t>Performance Standards</w:t>
      </w:r>
      <w:r w:rsidRPr="00CA472B">
        <w:rPr>
          <w:rFonts w:eastAsia="Calibri"/>
          <w:noProof/>
          <w:sz w:val="22"/>
          <w:szCs w:val="22"/>
          <w:vertAlign w:val="superscript"/>
        </w:rPr>
        <w:t xml:space="preserve">1 </w:t>
      </w:r>
      <w:r w:rsidRPr="00CA472B">
        <w:rPr>
          <w:rFonts w:eastAsia="Calibri"/>
          <w:noProof/>
          <w:sz w:val="22"/>
          <w:szCs w:val="22"/>
        </w:rPr>
        <w:t xml:space="preserve">  </w:t>
      </w:r>
      <w:r w:rsidR="003C745B" w:rsidRPr="00CA472B">
        <w:rPr>
          <w:rFonts w:eastAsia="Calibri"/>
          <w:noProof/>
          <w:sz w:val="22"/>
          <w:szCs w:val="22"/>
        </w:rPr>
        <w:t>………………………………………..</w:t>
      </w:r>
      <w:r w:rsidRPr="00CA472B">
        <w:rPr>
          <w:noProof/>
          <w:sz w:val="22"/>
          <w:szCs w:val="22"/>
        </w:rPr>
        <w:tab/>
      </w:r>
      <w:r w:rsidRPr="00CA472B">
        <w:rPr>
          <w:noProof/>
          <w:sz w:val="22"/>
          <w:szCs w:val="22"/>
        </w:rPr>
        <w:fldChar w:fldCharType="begin"/>
      </w:r>
      <w:r w:rsidRPr="00CA472B">
        <w:rPr>
          <w:noProof/>
          <w:sz w:val="22"/>
          <w:szCs w:val="22"/>
        </w:rPr>
        <w:instrText xml:space="preserve"> PAGEREF _Toc461027142 \h </w:instrText>
      </w:r>
      <w:r w:rsidRPr="00CA472B">
        <w:rPr>
          <w:noProof/>
          <w:sz w:val="22"/>
          <w:szCs w:val="22"/>
        </w:rPr>
      </w:r>
      <w:r w:rsidRPr="00CA472B">
        <w:rPr>
          <w:noProof/>
          <w:sz w:val="22"/>
          <w:szCs w:val="22"/>
        </w:rPr>
        <w:fldChar w:fldCharType="separate"/>
      </w:r>
      <w:r w:rsidR="00FF69F8">
        <w:rPr>
          <w:noProof/>
          <w:sz w:val="22"/>
          <w:szCs w:val="22"/>
        </w:rPr>
        <w:t>44</w:t>
      </w:r>
      <w:r w:rsidRPr="00CA472B">
        <w:rPr>
          <w:noProof/>
          <w:sz w:val="22"/>
          <w:szCs w:val="22"/>
        </w:rPr>
        <w:fldChar w:fldCharType="end"/>
      </w:r>
    </w:p>
    <w:p w:rsidR="00684591" w:rsidRPr="00CA472B" w:rsidRDefault="00684591" w:rsidP="00CA472B">
      <w:pPr>
        <w:pStyle w:val="TOC3"/>
        <w:rPr>
          <w:rFonts w:asciiTheme="minorHAnsi" w:eastAsiaTheme="minorEastAsia" w:hAnsiTheme="minorHAnsi" w:cstheme="minorBidi"/>
          <w:noProof/>
        </w:rPr>
      </w:pPr>
      <w:r w:rsidRPr="00CA472B">
        <w:rPr>
          <w:rFonts w:asciiTheme="minorHAnsi" w:hAnsiTheme="minorHAnsi"/>
          <w:noProof/>
        </w:rPr>
        <w:lastRenderedPageBreak/>
        <w:t>3.4.2</w:t>
      </w:r>
      <w:r w:rsidRPr="00CA472B">
        <w:rPr>
          <w:rFonts w:asciiTheme="minorHAnsi" w:eastAsiaTheme="minorEastAsia" w:hAnsiTheme="minorHAnsi" w:cstheme="minorBidi"/>
          <w:noProof/>
        </w:rPr>
        <w:tab/>
      </w:r>
      <w:r w:rsidRPr="00CA472B">
        <w:rPr>
          <w:rFonts w:asciiTheme="minorHAnsi" w:hAnsiTheme="minorHAnsi"/>
          <w:noProof/>
        </w:rPr>
        <w:t xml:space="preserve"> The OTC Measure</w:t>
      </w:r>
      <w:r w:rsidRPr="00CA472B">
        <w:rPr>
          <w:rFonts w:asciiTheme="minorHAnsi" w:hAnsiTheme="minorHAnsi"/>
          <w:noProof/>
        </w:rPr>
        <w:tab/>
      </w:r>
      <w:r w:rsidRPr="00CA472B">
        <w:rPr>
          <w:rFonts w:asciiTheme="minorHAnsi" w:hAnsiTheme="minorHAnsi"/>
          <w:noProof/>
        </w:rPr>
        <w:fldChar w:fldCharType="begin"/>
      </w:r>
      <w:r w:rsidRPr="00CA472B">
        <w:rPr>
          <w:rFonts w:asciiTheme="minorHAnsi" w:hAnsiTheme="minorHAnsi"/>
          <w:noProof/>
        </w:rPr>
        <w:instrText xml:space="preserve"> PAGEREF _Toc461027143 \h </w:instrText>
      </w:r>
      <w:r w:rsidRPr="00CA472B">
        <w:rPr>
          <w:rFonts w:asciiTheme="minorHAnsi" w:hAnsiTheme="minorHAnsi"/>
          <w:noProof/>
        </w:rPr>
      </w:r>
      <w:r w:rsidRPr="00CA472B">
        <w:rPr>
          <w:rFonts w:asciiTheme="minorHAnsi" w:hAnsiTheme="minorHAnsi"/>
          <w:noProof/>
        </w:rPr>
        <w:fldChar w:fldCharType="separate"/>
      </w:r>
      <w:r w:rsidR="00FF69F8">
        <w:rPr>
          <w:rFonts w:asciiTheme="minorHAnsi" w:hAnsiTheme="minorHAnsi"/>
          <w:noProof/>
        </w:rPr>
        <w:t>44</w:t>
      </w:r>
      <w:r w:rsidRPr="00CA472B">
        <w:rPr>
          <w:rFonts w:asciiTheme="minorHAnsi" w:hAnsiTheme="minorHAnsi"/>
          <w:noProof/>
        </w:rPr>
        <w:fldChar w:fldCharType="end"/>
      </w:r>
    </w:p>
    <w:p w:rsidR="00684591" w:rsidRPr="00CA472B" w:rsidRDefault="00684591">
      <w:pPr>
        <w:pStyle w:val="TOC4"/>
        <w:rPr>
          <w:rFonts w:asciiTheme="minorHAnsi" w:eastAsiaTheme="minorEastAsia" w:hAnsiTheme="minorHAnsi"/>
          <w:noProof/>
          <w:sz w:val="22"/>
        </w:rPr>
      </w:pPr>
      <w:r w:rsidRPr="00CA472B">
        <w:rPr>
          <w:rFonts w:asciiTheme="minorHAnsi" w:hAnsiTheme="minorHAnsi"/>
          <w:noProof/>
          <w:sz w:val="22"/>
        </w:rPr>
        <w:t>4.4.2.1</w:t>
      </w:r>
      <w:r w:rsidRPr="00CA472B">
        <w:rPr>
          <w:rFonts w:asciiTheme="minorHAnsi" w:eastAsiaTheme="minorEastAsia" w:hAnsiTheme="minorHAnsi"/>
          <w:noProof/>
          <w:sz w:val="22"/>
        </w:rPr>
        <w:tab/>
      </w:r>
      <w:r w:rsidRPr="00CA472B">
        <w:rPr>
          <w:rFonts w:asciiTheme="minorHAnsi" w:hAnsiTheme="minorHAnsi"/>
          <w:noProof/>
          <w:sz w:val="22"/>
        </w:rPr>
        <w:t>Performance Standards</w:t>
      </w:r>
      <w:r w:rsidRPr="00CA472B">
        <w:rPr>
          <w:rFonts w:asciiTheme="minorHAnsi" w:hAnsiTheme="minorHAnsi"/>
          <w:noProof/>
          <w:sz w:val="22"/>
        </w:rPr>
        <w:tab/>
      </w:r>
      <w:r w:rsidRPr="00CA472B">
        <w:rPr>
          <w:rFonts w:asciiTheme="minorHAnsi" w:hAnsiTheme="minorHAnsi"/>
          <w:noProof/>
          <w:sz w:val="22"/>
        </w:rPr>
        <w:fldChar w:fldCharType="begin"/>
      </w:r>
      <w:r w:rsidRPr="00CA472B">
        <w:rPr>
          <w:rFonts w:asciiTheme="minorHAnsi" w:hAnsiTheme="minorHAnsi"/>
          <w:noProof/>
          <w:sz w:val="22"/>
        </w:rPr>
        <w:instrText xml:space="preserve"> PAGEREF _Toc461027144 \h </w:instrText>
      </w:r>
      <w:r w:rsidRPr="00CA472B">
        <w:rPr>
          <w:rFonts w:asciiTheme="minorHAnsi" w:hAnsiTheme="minorHAnsi"/>
          <w:noProof/>
          <w:sz w:val="22"/>
        </w:rPr>
      </w:r>
      <w:r w:rsidRPr="00CA472B">
        <w:rPr>
          <w:rFonts w:asciiTheme="minorHAnsi" w:hAnsiTheme="minorHAnsi"/>
          <w:noProof/>
          <w:sz w:val="22"/>
        </w:rPr>
        <w:fldChar w:fldCharType="separate"/>
      </w:r>
      <w:r w:rsidR="00FF69F8">
        <w:rPr>
          <w:rFonts w:asciiTheme="minorHAnsi" w:hAnsiTheme="minorHAnsi"/>
          <w:noProof/>
          <w:sz w:val="22"/>
        </w:rPr>
        <w:t>44</w:t>
      </w:r>
      <w:r w:rsidRPr="00CA472B">
        <w:rPr>
          <w:rFonts w:asciiTheme="minorHAnsi" w:hAnsiTheme="minorHAnsi"/>
          <w:noProof/>
          <w:sz w:val="22"/>
        </w:rPr>
        <w:fldChar w:fldCharType="end"/>
      </w:r>
    </w:p>
    <w:p w:rsidR="00684591" w:rsidRPr="00CA472B" w:rsidRDefault="00684591">
      <w:pPr>
        <w:pStyle w:val="TOC4"/>
        <w:rPr>
          <w:rFonts w:asciiTheme="minorHAnsi" w:eastAsiaTheme="minorEastAsia" w:hAnsiTheme="minorHAnsi"/>
          <w:noProof/>
          <w:sz w:val="22"/>
        </w:rPr>
      </w:pPr>
      <w:r w:rsidRPr="00CA472B">
        <w:rPr>
          <w:rFonts w:asciiTheme="minorHAnsi" w:hAnsiTheme="minorHAnsi"/>
          <w:noProof/>
          <w:sz w:val="22"/>
        </w:rPr>
        <w:t>3.4.2.2</w:t>
      </w:r>
      <w:r w:rsidRPr="00CA472B">
        <w:rPr>
          <w:rFonts w:asciiTheme="minorHAnsi" w:eastAsiaTheme="minorEastAsia" w:hAnsiTheme="minorHAnsi"/>
          <w:noProof/>
          <w:sz w:val="22"/>
        </w:rPr>
        <w:tab/>
      </w:r>
      <w:r w:rsidRPr="00CA472B">
        <w:rPr>
          <w:rFonts w:asciiTheme="minorHAnsi" w:hAnsiTheme="minorHAnsi"/>
          <w:noProof/>
          <w:sz w:val="22"/>
        </w:rPr>
        <w:t>Alternate RACT Provision</w:t>
      </w:r>
      <w:r w:rsidRPr="00CA472B">
        <w:rPr>
          <w:rFonts w:asciiTheme="minorHAnsi" w:hAnsiTheme="minorHAnsi"/>
          <w:noProof/>
          <w:sz w:val="22"/>
        </w:rPr>
        <w:tab/>
      </w:r>
      <w:r w:rsidRPr="00CA472B">
        <w:rPr>
          <w:rFonts w:asciiTheme="minorHAnsi" w:hAnsiTheme="minorHAnsi"/>
          <w:noProof/>
          <w:sz w:val="22"/>
        </w:rPr>
        <w:fldChar w:fldCharType="begin"/>
      </w:r>
      <w:r w:rsidRPr="00CA472B">
        <w:rPr>
          <w:rFonts w:asciiTheme="minorHAnsi" w:hAnsiTheme="minorHAnsi"/>
          <w:noProof/>
          <w:sz w:val="22"/>
        </w:rPr>
        <w:instrText xml:space="preserve"> PAGEREF _Toc461027145 \h </w:instrText>
      </w:r>
      <w:r w:rsidRPr="00CA472B">
        <w:rPr>
          <w:rFonts w:asciiTheme="minorHAnsi" w:hAnsiTheme="minorHAnsi"/>
          <w:noProof/>
          <w:sz w:val="22"/>
        </w:rPr>
      </w:r>
      <w:r w:rsidRPr="00CA472B">
        <w:rPr>
          <w:rFonts w:asciiTheme="minorHAnsi" w:hAnsiTheme="minorHAnsi"/>
          <w:noProof/>
          <w:sz w:val="22"/>
        </w:rPr>
        <w:fldChar w:fldCharType="separate"/>
      </w:r>
      <w:r w:rsidR="00FF69F8">
        <w:rPr>
          <w:rFonts w:asciiTheme="minorHAnsi" w:hAnsiTheme="minorHAnsi"/>
          <w:noProof/>
          <w:sz w:val="22"/>
        </w:rPr>
        <w:t>45</w:t>
      </w:r>
      <w:r w:rsidRPr="00CA472B">
        <w:rPr>
          <w:rFonts w:asciiTheme="minorHAnsi" w:hAnsiTheme="minorHAnsi"/>
          <w:noProof/>
          <w:sz w:val="22"/>
        </w:rPr>
        <w:fldChar w:fldCharType="end"/>
      </w:r>
    </w:p>
    <w:p w:rsidR="00684591" w:rsidRPr="00CA472B" w:rsidRDefault="00684591" w:rsidP="00CA472B">
      <w:pPr>
        <w:pStyle w:val="TOC3"/>
        <w:rPr>
          <w:rFonts w:asciiTheme="minorHAnsi" w:eastAsiaTheme="minorEastAsia" w:hAnsiTheme="minorHAnsi" w:cstheme="minorBidi"/>
          <w:noProof/>
        </w:rPr>
      </w:pPr>
      <w:r w:rsidRPr="00CA472B">
        <w:rPr>
          <w:rFonts w:asciiTheme="minorHAnsi" w:hAnsiTheme="minorHAnsi"/>
          <w:noProof/>
        </w:rPr>
        <w:t>3.4.3</w:t>
      </w:r>
      <w:r w:rsidRPr="00CA472B">
        <w:rPr>
          <w:rFonts w:asciiTheme="minorHAnsi" w:eastAsiaTheme="minorEastAsia" w:hAnsiTheme="minorHAnsi" w:cstheme="minorBidi"/>
          <w:noProof/>
        </w:rPr>
        <w:tab/>
      </w:r>
      <w:r w:rsidRPr="00CA472B">
        <w:rPr>
          <w:rFonts w:asciiTheme="minorHAnsi" w:hAnsiTheme="minorHAnsi"/>
          <w:noProof/>
        </w:rPr>
        <w:t xml:space="preserve"> Emissions Reduction Benefit</w:t>
      </w:r>
      <w:r w:rsidRPr="00CA472B">
        <w:rPr>
          <w:rFonts w:asciiTheme="minorHAnsi" w:hAnsiTheme="minorHAnsi"/>
          <w:noProof/>
        </w:rPr>
        <w:tab/>
      </w:r>
      <w:r w:rsidRPr="00CA472B">
        <w:rPr>
          <w:rFonts w:asciiTheme="minorHAnsi" w:hAnsiTheme="minorHAnsi"/>
          <w:noProof/>
        </w:rPr>
        <w:fldChar w:fldCharType="begin"/>
      </w:r>
      <w:r w:rsidRPr="00CA472B">
        <w:rPr>
          <w:rFonts w:asciiTheme="minorHAnsi" w:hAnsiTheme="minorHAnsi"/>
          <w:noProof/>
        </w:rPr>
        <w:instrText xml:space="preserve"> PAGEREF _Toc461027146 \h </w:instrText>
      </w:r>
      <w:r w:rsidRPr="00CA472B">
        <w:rPr>
          <w:rFonts w:asciiTheme="minorHAnsi" w:hAnsiTheme="minorHAnsi"/>
          <w:noProof/>
        </w:rPr>
      </w:r>
      <w:r w:rsidRPr="00CA472B">
        <w:rPr>
          <w:rFonts w:asciiTheme="minorHAnsi" w:hAnsiTheme="minorHAnsi"/>
          <w:noProof/>
        </w:rPr>
        <w:fldChar w:fldCharType="separate"/>
      </w:r>
      <w:r w:rsidR="00FF69F8">
        <w:rPr>
          <w:rFonts w:asciiTheme="minorHAnsi" w:hAnsiTheme="minorHAnsi"/>
          <w:noProof/>
        </w:rPr>
        <w:t>45</w:t>
      </w:r>
      <w:r w:rsidRPr="00CA472B">
        <w:rPr>
          <w:rFonts w:asciiTheme="minorHAnsi" w:hAnsiTheme="minorHAnsi"/>
          <w:noProof/>
        </w:rPr>
        <w:fldChar w:fldCharType="end"/>
      </w:r>
    </w:p>
    <w:p w:rsidR="00684591" w:rsidRPr="00CA472B" w:rsidRDefault="00684591" w:rsidP="00CA472B">
      <w:pPr>
        <w:pStyle w:val="TOC3"/>
        <w:rPr>
          <w:rFonts w:asciiTheme="minorHAnsi" w:eastAsiaTheme="minorEastAsia" w:hAnsiTheme="minorHAnsi" w:cstheme="minorBidi"/>
          <w:noProof/>
        </w:rPr>
      </w:pPr>
      <w:r w:rsidRPr="00CA472B">
        <w:rPr>
          <w:rFonts w:asciiTheme="minorHAnsi" w:hAnsiTheme="minorHAnsi"/>
          <w:noProof/>
        </w:rPr>
        <w:t>3.4.4</w:t>
      </w:r>
      <w:r w:rsidRPr="00CA472B">
        <w:rPr>
          <w:rFonts w:asciiTheme="minorHAnsi" w:eastAsiaTheme="minorEastAsia" w:hAnsiTheme="minorHAnsi" w:cstheme="minorBidi"/>
          <w:noProof/>
        </w:rPr>
        <w:tab/>
      </w:r>
      <w:r w:rsidRPr="00CA472B">
        <w:rPr>
          <w:rFonts w:asciiTheme="minorHAnsi" w:hAnsiTheme="minorHAnsi"/>
          <w:noProof/>
        </w:rPr>
        <w:t xml:space="preserve"> Control Cost Estimate</w:t>
      </w:r>
      <w:r w:rsidRPr="00CA472B">
        <w:rPr>
          <w:rFonts w:asciiTheme="minorHAnsi" w:hAnsiTheme="minorHAnsi"/>
          <w:noProof/>
        </w:rPr>
        <w:tab/>
      </w:r>
      <w:r w:rsidRPr="00CA472B">
        <w:rPr>
          <w:rFonts w:asciiTheme="minorHAnsi" w:hAnsiTheme="minorHAnsi"/>
          <w:noProof/>
        </w:rPr>
        <w:fldChar w:fldCharType="begin"/>
      </w:r>
      <w:r w:rsidRPr="00CA472B">
        <w:rPr>
          <w:rFonts w:asciiTheme="minorHAnsi" w:hAnsiTheme="minorHAnsi"/>
          <w:noProof/>
        </w:rPr>
        <w:instrText xml:space="preserve"> PAGEREF _Toc461027147 \h </w:instrText>
      </w:r>
      <w:r w:rsidRPr="00CA472B">
        <w:rPr>
          <w:rFonts w:asciiTheme="minorHAnsi" w:hAnsiTheme="minorHAnsi"/>
          <w:noProof/>
        </w:rPr>
      </w:r>
      <w:r w:rsidRPr="00CA472B">
        <w:rPr>
          <w:rFonts w:asciiTheme="minorHAnsi" w:hAnsiTheme="minorHAnsi"/>
          <w:noProof/>
        </w:rPr>
        <w:fldChar w:fldCharType="separate"/>
      </w:r>
      <w:r w:rsidR="00FF69F8">
        <w:rPr>
          <w:rFonts w:asciiTheme="minorHAnsi" w:hAnsiTheme="minorHAnsi"/>
          <w:noProof/>
        </w:rPr>
        <w:t>46</w:t>
      </w:r>
      <w:r w:rsidRPr="00CA472B">
        <w:rPr>
          <w:rFonts w:asciiTheme="minorHAnsi" w:hAnsiTheme="minorHAnsi"/>
          <w:noProof/>
        </w:rPr>
        <w:fldChar w:fldCharType="end"/>
      </w:r>
    </w:p>
    <w:p w:rsidR="00684591" w:rsidRPr="00CA472B" w:rsidRDefault="00684591" w:rsidP="00CA472B">
      <w:pPr>
        <w:pStyle w:val="TOC3"/>
        <w:rPr>
          <w:rFonts w:asciiTheme="minorHAnsi" w:eastAsiaTheme="minorEastAsia" w:hAnsiTheme="minorHAnsi" w:cstheme="minorBidi"/>
          <w:noProof/>
        </w:rPr>
      </w:pPr>
      <w:r w:rsidRPr="00CA472B">
        <w:rPr>
          <w:rFonts w:asciiTheme="minorHAnsi" w:hAnsiTheme="minorHAnsi"/>
          <w:noProof/>
        </w:rPr>
        <w:t>3.4.5</w:t>
      </w:r>
      <w:r w:rsidRPr="00CA472B">
        <w:rPr>
          <w:rFonts w:asciiTheme="minorHAnsi" w:eastAsiaTheme="minorEastAsia" w:hAnsiTheme="minorHAnsi" w:cstheme="minorBidi"/>
          <w:noProof/>
        </w:rPr>
        <w:tab/>
      </w:r>
      <w:r w:rsidRPr="00CA472B">
        <w:rPr>
          <w:rFonts w:asciiTheme="minorHAnsi" w:hAnsiTheme="minorHAnsi"/>
          <w:noProof/>
        </w:rPr>
        <w:t xml:space="preserve"> Emissions Reduction Benefits for Other Pollutants</w:t>
      </w:r>
      <w:r w:rsidRPr="00CA472B">
        <w:rPr>
          <w:rFonts w:asciiTheme="minorHAnsi" w:hAnsiTheme="minorHAnsi"/>
          <w:noProof/>
        </w:rPr>
        <w:tab/>
      </w:r>
      <w:r w:rsidRPr="00CA472B">
        <w:rPr>
          <w:rFonts w:asciiTheme="minorHAnsi" w:hAnsiTheme="minorHAnsi"/>
          <w:noProof/>
        </w:rPr>
        <w:fldChar w:fldCharType="begin"/>
      </w:r>
      <w:r w:rsidRPr="00CA472B">
        <w:rPr>
          <w:rFonts w:asciiTheme="minorHAnsi" w:hAnsiTheme="minorHAnsi"/>
          <w:noProof/>
        </w:rPr>
        <w:instrText xml:space="preserve"> PAGEREF _Toc461027148 \h </w:instrText>
      </w:r>
      <w:r w:rsidRPr="00CA472B">
        <w:rPr>
          <w:rFonts w:asciiTheme="minorHAnsi" w:hAnsiTheme="minorHAnsi"/>
          <w:noProof/>
        </w:rPr>
      </w:r>
      <w:r w:rsidRPr="00CA472B">
        <w:rPr>
          <w:rFonts w:asciiTheme="minorHAnsi" w:hAnsiTheme="minorHAnsi"/>
          <w:noProof/>
        </w:rPr>
        <w:fldChar w:fldCharType="separate"/>
      </w:r>
      <w:r w:rsidR="00FF69F8">
        <w:rPr>
          <w:rFonts w:asciiTheme="minorHAnsi" w:hAnsiTheme="minorHAnsi"/>
          <w:noProof/>
        </w:rPr>
        <w:t>47</w:t>
      </w:r>
      <w:r w:rsidRPr="00CA472B">
        <w:rPr>
          <w:rFonts w:asciiTheme="minorHAnsi" w:hAnsiTheme="minorHAnsi"/>
          <w:noProof/>
        </w:rPr>
        <w:fldChar w:fldCharType="end"/>
      </w:r>
    </w:p>
    <w:p w:rsidR="00684591" w:rsidRPr="00CA472B" w:rsidRDefault="00684591">
      <w:pPr>
        <w:pStyle w:val="TOC2"/>
        <w:tabs>
          <w:tab w:val="left" w:pos="880"/>
          <w:tab w:val="right" w:leader="dot" w:pos="9350"/>
        </w:tabs>
        <w:rPr>
          <w:rFonts w:asciiTheme="minorHAnsi" w:eastAsiaTheme="minorEastAsia" w:hAnsiTheme="minorHAnsi" w:cstheme="minorBidi"/>
          <w:noProof/>
          <w:sz w:val="22"/>
          <w:szCs w:val="22"/>
        </w:rPr>
      </w:pPr>
      <w:r w:rsidRPr="00CA472B">
        <w:rPr>
          <w:rFonts w:asciiTheme="minorHAnsi" w:hAnsiTheme="minorHAnsi"/>
          <w:noProof/>
          <w:sz w:val="22"/>
          <w:szCs w:val="22"/>
        </w:rPr>
        <w:t>3.5</w:t>
      </w:r>
      <w:r w:rsidRPr="00CA472B">
        <w:rPr>
          <w:rFonts w:asciiTheme="minorHAnsi" w:eastAsiaTheme="minorEastAsia" w:hAnsiTheme="minorHAnsi" w:cstheme="minorBidi"/>
          <w:noProof/>
          <w:sz w:val="22"/>
          <w:szCs w:val="22"/>
        </w:rPr>
        <w:tab/>
      </w:r>
      <w:r w:rsidRPr="00CA472B">
        <w:rPr>
          <w:rFonts w:asciiTheme="minorHAnsi" w:hAnsiTheme="minorHAnsi"/>
          <w:noProof/>
          <w:sz w:val="22"/>
          <w:szCs w:val="22"/>
        </w:rPr>
        <w:t>Nonroad Diesel Equipment Anti-Idling</w:t>
      </w:r>
      <w:r w:rsidRPr="00CA472B">
        <w:rPr>
          <w:rFonts w:asciiTheme="minorHAnsi" w:hAnsiTheme="minorHAnsi"/>
          <w:noProof/>
          <w:sz w:val="22"/>
          <w:szCs w:val="22"/>
        </w:rPr>
        <w:tab/>
      </w:r>
      <w:r w:rsidRPr="00CA472B">
        <w:rPr>
          <w:rFonts w:asciiTheme="minorHAnsi" w:hAnsiTheme="minorHAnsi"/>
          <w:noProof/>
          <w:sz w:val="22"/>
          <w:szCs w:val="22"/>
        </w:rPr>
        <w:fldChar w:fldCharType="begin"/>
      </w:r>
      <w:r w:rsidRPr="00CA472B">
        <w:rPr>
          <w:rFonts w:asciiTheme="minorHAnsi" w:hAnsiTheme="minorHAnsi"/>
          <w:noProof/>
          <w:sz w:val="22"/>
          <w:szCs w:val="22"/>
        </w:rPr>
        <w:instrText xml:space="preserve"> PAGEREF _Toc461027149 \h </w:instrText>
      </w:r>
      <w:r w:rsidRPr="00CA472B">
        <w:rPr>
          <w:rFonts w:asciiTheme="minorHAnsi" w:hAnsiTheme="minorHAnsi"/>
          <w:noProof/>
          <w:sz w:val="22"/>
          <w:szCs w:val="22"/>
        </w:rPr>
      </w:r>
      <w:r w:rsidRPr="00CA472B">
        <w:rPr>
          <w:rFonts w:asciiTheme="minorHAnsi" w:hAnsiTheme="minorHAnsi"/>
          <w:noProof/>
          <w:sz w:val="22"/>
          <w:szCs w:val="22"/>
        </w:rPr>
        <w:fldChar w:fldCharType="separate"/>
      </w:r>
      <w:r w:rsidR="00FF69F8">
        <w:rPr>
          <w:rFonts w:asciiTheme="minorHAnsi" w:hAnsiTheme="minorHAnsi"/>
          <w:noProof/>
          <w:sz w:val="22"/>
          <w:szCs w:val="22"/>
        </w:rPr>
        <w:t>47</w:t>
      </w:r>
      <w:r w:rsidRPr="00CA472B">
        <w:rPr>
          <w:rFonts w:asciiTheme="minorHAnsi" w:hAnsiTheme="minorHAnsi"/>
          <w:noProof/>
          <w:sz w:val="22"/>
          <w:szCs w:val="22"/>
        </w:rPr>
        <w:fldChar w:fldCharType="end"/>
      </w:r>
    </w:p>
    <w:p w:rsidR="00684591" w:rsidRPr="00CA472B" w:rsidRDefault="00684591">
      <w:pPr>
        <w:pStyle w:val="TOC2"/>
        <w:tabs>
          <w:tab w:val="left" w:pos="1100"/>
          <w:tab w:val="right" w:leader="dot" w:pos="9350"/>
        </w:tabs>
        <w:rPr>
          <w:rFonts w:asciiTheme="minorHAnsi" w:eastAsiaTheme="minorEastAsia" w:hAnsiTheme="minorHAnsi" w:cstheme="minorBidi"/>
          <w:noProof/>
          <w:sz w:val="22"/>
          <w:szCs w:val="22"/>
        </w:rPr>
      </w:pPr>
      <w:r w:rsidRPr="00CA472B">
        <w:rPr>
          <w:rFonts w:asciiTheme="minorHAnsi" w:hAnsiTheme="minorHAnsi"/>
          <w:noProof/>
          <w:sz w:val="22"/>
          <w:szCs w:val="22"/>
        </w:rPr>
        <w:t>3.5.1</w:t>
      </w:r>
      <w:r w:rsidRPr="00CA472B">
        <w:rPr>
          <w:rFonts w:asciiTheme="minorHAnsi" w:eastAsiaTheme="minorEastAsia" w:hAnsiTheme="minorHAnsi" w:cstheme="minorBidi"/>
          <w:noProof/>
          <w:sz w:val="22"/>
          <w:szCs w:val="22"/>
        </w:rPr>
        <w:tab/>
      </w:r>
      <w:r w:rsidRPr="00CA472B">
        <w:rPr>
          <w:rFonts w:asciiTheme="minorHAnsi" w:hAnsiTheme="minorHAnsi"/>
          <w:noProof/>
          <w:sz w:val="22"/>
          <w:szCs w:val="22"/>
        </w:rPr>
        <w:t>Existing Standards</w:t>
      </w:r>
      <w:r w:rsidRPr="00CA472B">
        <w:rPr>
          <w:rFonts w:asciiTheme="minorHAnsi" w:hAnsiTheme="minorHAnsi"/>
          <w:noProof/>
          <w:sz w:val="22"/>
          <w:szCs w:val="22"/>
        </w:rPr>
        <w:tab/>
      </w:r>
      <w:r w:rsidRPr="00CA472B">
        <w:rPr>
          <w:rFonts w:asciiTheme="minorHAnsi" w:hAnsiTheme="minorHAnsi"/>
          <w:noProof/>
          <w:sz w:val="22"/>
          <w:szCs w:val="22"/>
        </w:rPr>
        <w:fldChar w:fldCharType="begin"/>
      </w:r>
      <w:r w:rsidRPr="00CA472B">
        <w:rPr>
          <w:rFonts w:asciiTheme="minorHAnsi" w:hAnsiTheme="minorHAnsi"/>
          <w:noProof/>
          <w:sz w:val="22"/>
          <w:szCs w:val="22"/>
        </w:rPr>
        <w:instrText xml:space="preserve"> PAGEREF _Toc461027150 \h </w:instrText>
      </w:r>
      <w:r w:rsidRPr="00CA472B">
        <w:rPr>
          <w:rFonts w:asciiTheme="minorHAnsi" w:hAnsiTheme="minorHAnsi"/>
          <w:noProof/>
          <w:sz w:val="22"/>
          <w:szCs w:val="22"/>
        </w:rPr>
      </w:r>
      <w:r w:rsidRPr="00CA472B">
        <w:rPr>
          <w:rFonts w:asciiTheme="minorHAnsi" w:hAnsiTheme="minorHAnsi"/>
          <w:noProof/>
          <w:sz w:val="22"/>
          <w:szCs w:val="22"/>
        </w:rPr>
        <w:fldChar w:fldCharType="separate"/>
      </w:r>
      <w:r w:rsidR="00FF69F8">
        <w:rPr>
          <w:rFonts w:asciiTheme="minorHAnsi" w:hAnsiTheme="minorHAnsi"/>
          <w:noProof/>
          <w:sz w:val="22"/>
          <w:szCs w:val="22"/>
        </w:rPr>
        <w:t>49</w:t>
      </w:r>
      <w:r w:rsidRPr="00CA472B">
        <w:rPr>
          <w:rFonts w:asciiTheme="minorHAnsi" w:hAnsiTheme="minorHAnsi"/>
          <w:noProof/>
          <w:sz w:val="22"/>
          <w:szCs w:val="22"/>
        </w:rPr>
        <w:fldChar w:fldCharType="end"/>
      </w:r>
    </w:p>
    <w:p w:rsidR="00684591" w:rsidRPr="00CA472B" w:rsidRDefault="00684591" w:rsidP="00CA472B">
      <w:pPr>
        <w:pStyle w:val="TOC3"/>
        <w:rPr>
          <w:rFonts w:asciiTheme="minorHAnsi" w:eastAsiaTheme="minorEastAsia" w:hAnsiTheme="minorHAnsi" w:cstheme="minorBidi"/>
          <w:noProof/>
        </w:rPr>
      </w:pPr>
      <w:r w:rsidRPr="00CA472B">
        <w:rPr>
          <w:rFonts w:asciiTheme="minorHAnsi" w:hAnsiTheme="minorHAnsi"/>
          <w:noProof/>
        </w:rPr>
        <w:t>3.5.2</w:t>
      </w:r>
      <w:r w:rsidRPr="00CA472B">
        <w:rPr>
          <w:rFonts w:asciiTheme="minorHAnsi" w:eastAsiaTheme="minorEastAsia" w:hAnsiTheme="minorHAnsi" w:cstheme="minorBidi"/>
          <w:noProof/>
        </w:rPr>
        <w:tab/>
      </w:r>
      <w:r w:rsidRPr="00CA472B">
        <w:rPr>
          <w:rFonts w:asciiTheme="minorHAnsi" w:hAnsiTheme="minorHAnsi"/>
          <w:noProof/>
        </w:rPr>
        <w:t xml:space="preserve"> The OTC Measure</w:t>
      </w:r>
      <w:r w:rsidRPr="00CA472B">
        <w:rPr>
          <w:rFonts w:asciiTheme="minorHAnsi" w:hAnsiTheme="minorHAnsi"/>
          <w:noProof/>
        </w:rPr>
        <w:tab/>
      </w:r>
      <w:r w:rsidRPr="00CA472B">
        <w:rPr>
          <w:rFonts w:asciiTheme="minorHAnsi" w:hAnsiTheme="minorHAnsi"/>
          <w:noProof/>
        </w:rPr>
        <w:fldChar w:fldCharType="begin"/>
      </w:r>
      <w:r w:rsidRPr="00CA472B">
        <w:rPr>
          <w:rFonts w:asciiTheme="minorHAnsi" w:hAnsiTheme="minorHAnsi"/>
          <w:noProof/>
        </w:rPr>
        <w:instrText xml:space="preserve"> PAGEREF _Toc461027151 \h </w:instrText>
      </w:r>
      <w:r w:rsidRPr="00CA472B">
        <w:rPr>
          <w:rFonts w:asciiTheme="minorHAnsi" w:hAnsiTheme="minorHAnsi"/>
          <w:noProof/>
        </w:rPr>
      </w:r>
      <w:r w:rsidRPr="00CA472B">
        <w:rPr>
          <w:rFonts w:asciiTheme="minorHAnsi" w:hAnsiTheme="minorHAnsi"/>
          <w:noProof/>
        </w:rPr>
        <w:fldChar w:fldCharType="separate"/>
      </w:r>
      <w:r w:rsidR="00FF69F8">
        <w:rPr>
          <w:rFonts w:asciiTheme="minorHAnsi" w:hAnsiTheme="minorHAnsi"/>
          <w:noProof/>
        </w:rPr>
        <w:t>50</w:t>
      </w:r>
      <w:r w:rsidRPr="00CA472B">
        <w:rPr>
          <w:rFonts w:asciiTheme="minorHAnsi" w:hAnsiTheme="minorHAnsi"/>
          <w:noProof/>
        </w:rPr>
        <w:fldChar w:fldCharType="end"/>
      </w:r>
    </w:p>
    <w:p w:rsidR="00684591" w:rsidRPr="00CA472B" w:rsidRDefault="00684591" w:rsidP="00CA472B">
      <w:pPr>
        <w:pStyle w:val="TOC3"/>
        <w:rPr>
          <w:rFonts w:asciiTheme="minorHAnsi" w:eastAsiaTheme="minorEastAsia" w:hAnsiTheme="minorHAnsi" w:cstheme="minorBidi"/>
          <w:noProof/>
        </w:rPr>
      </w:pPr>
      <w:r w:rsidRPr="00CA472B">
        <w:rPr>
          <w:rFonts w:asciiTheme="minorHAnsi" w:hAnsiTheme="minorHAnsi"/>
          <w:noProof/>
        </w:rPr>
        <w:t>3.5.3</w:t>
      </w:r>
      <w:r w:rsidRPr="00CA472B">
        <w:rPr>
          <w:rFonts w:asciiTheme="minorHAnsi" w:eastAsiaTheme="minorEastAsia" w:hAnsiTheme="minorHAnsi" w:cstheme="minorBidi"/>
          <w:noProof/>
        </w:rPr>
        <w:tab/>
      </w:r>
      <w:r w:rsidRPr="00CA472B">
        <w:rPr>
          <w:rFonts w:asciiTheme="minorHAnsi" w:hAnsiTheme="minorHAnsi"/>
          <w:noProof/>
        </w:rPr>
        <w:t xml:space="preserve"> NO</w:t>
      </w:r>
      <w:r w:rsidRPr="00CA472B">
        <w:rPr>
          <w:rFonts w:asciiTheme="minorHAnsi" w:hAnsiTheme="minorHAnsi"/>
          <w:noProof/>
          <w:vertAlign w:val="subscript"/>
        </w:rPr>
        <w:t>X</w:t>
      </w:r>
      <w:r w:rsidRPr="00CA472B">
        <w:rPr>
          <w:rFonts w:asciiTheme="minorHAnsi" w:hAnsiTheme="minorHAnsi"/>
          <w:noProof/>
        </w:rPr>
        <w:t xml:space="preserve"> Emissions Reduction Benefit</w:t>
      </w:r>
      <w:r w:rsidRPr="00CA472B">
        <w:rPr>
          <w:rFonts w:asciiTheme="minorHAnsi" w:hAnsiTheme="minorHAnsi"/>
          <w:noProof/>
        </w:rPr>
        <w:tab/>
      </w:r>
      <w:r w:rsidRPr="00CA472B">
        <w:rPr>
          <w:rFonts w:asciiTheme="minorHAnsi" w:hAnsiTheme="minorHAnsi"/>
          <w:noProof/>
        </w:rPr>
        <w:fldChar w:fldCharType="begin"/>
      </w:r>
      <w:r w:rsidRPr="00CA472B">
        <w:rPr>
          <w:rFonts w:asciiTheme="minorHAnsi" w:hAnsiTheme="minorHAnsi"/>
          <w:noProof/>
        </w:rPr>
        <w:instrText xml:space="preserve"> PAGEREF _Toc461027152 \h </w:instrText>
      </w:r>
      <w:r w:rsidRPr="00CA472B">
        <w:rPr>
          <w:rFonts w:asciiTheme="minorHAnsi" w:hAnsiTheme="minorHAnsi"/>
          <w:noProof/>
        </w:rPr>
      </w:r>
      <w:r w:rsidRPr="00CA472B">
        <w:rPr>
          <w:rFonts w:asciiTheme="minorHAnsi" w:hAnsiTheme="minorHAnsi"/>
          <w:noProof/>
        </w:rPr>
        <w:fldChar w:fldCharType="separate"/>
      </w:r>
      <w:r w:rsidR="00FF69F8">
        <w:rPr>
          <w:rFonts w:asciiTheme="minorHAnsi" w:hAnsiTheme="minorHAnsi"/>
          <w:noProof/>
        </w:rPr>
        <w:t>51</w:t>
      </w:r>
      <w:r w:rsidRPr="00CA472B">
        <w:rPr>
          <w:rFonts w:asciiTheme="minorHAnsi" w:hAnsiTheme="minorHAnsi"/>
          <w:noProof/>
        </w:rPr>
        <w:fldChar w:fldCharType="end"/>
      </w:r>
    </w:p>
    <w:p w:rsidR="00684591" w:rsidRPr="00CA472B" w:rsidRDefault="00684591" w:rsidP="00CA472B">
      <w:pPr>
        <w:pStyle w:val="TOC3"/>
        <w:rPr>
          <w:rFonts w:asciiTheme="minorHAnsi" w:eastAsiaTheme="minorEastAsia" w:hAnsiTheme="minorHAnsi" w:cstheme="minorBidi"/>
          <w:noProof/>
        </w:rPr>
      </w:pPr>
      <w:r w:rsidRPr="00CA472B">
        <w:rPr>
          <w:rFonts w:asciiTheme="minorHAnsi" w:hAnsiTheme="minorHAnsi"/>
          <w:noProof/>
        </w:rPr>
        <w:t>3.5.4</w:t>
      </w:r>
      <w:r w:rsidRPr="00CA472B">
        <w:rPr>
          <w:rFonts w:asciiTheme="minorHAnsi" w:eastAsiaTheme="minorEastAsia" w:hAnsiTheme="minorHAnsi" w:cstheme="minorBidi"/>
          <w:noProof/>
        </w:rPr>
        <w:tab/>
      </w:r>
      <w:r w:rsidRPr="00CA472B">
        <w:rPr>
          <w:rFonts w:asciiTheme="minorHAnsi" w:hAnsiTheme="minorHAnsi"/>
          <w:noProof/>
        </w:rPr>
        <w:t xml:space="preserve"> Control Cost Estimate</w:t>
      </w:r>
      <w:r w:rsidRPr="00CA472B">
        <w:rPr>
          <w:rFonts w:asciiTheme="minorHAnsi" w:hAnsiTheme="minorHAnsi"/>
          <w:noProof/>
        </w:rPr>
        <w:tab/>
      </w:r>
      <w:r w:rsidRPr="00CA472B">
        <w:rPr>
          <w:rFonts w:asciiTheme="minorHAnsi" w:hAnsiTheme="minorHAnsi"/>
          <w:noProof/>
        </w:rPr>
        <w:fldChar w:fldCharType="begin"/>
      </w:r>
      <w:r w:rsidRPr="00CA472B">
        <w:rPr>
          <w:rFonts w:asciiTheme="minorHAnsi" w:hAnsiTheme="minorHAnsi"/>
          <w:noProof/>
        </w:rPr>
        <w:instrText xml:space="preserve"> PAGEREF _Toc461027153 \h </w:instrText>
      </w:r>
      <w:r w:rsidRPr="00CA472B">
        <w:rPr>
          <w:rFonts w:asciiTheme="minorHAnsi" w:hAnsiTheme="minorHAnsi"/>
          <w:noProof/>
        </w:rPr>
      </w:r>
      <w:r w:rsidRPr="00CA472B">
        <w:rPr>
          <w:rFonts w:asciiTheme="minorHAnsi" w:hAnsiTheme="minorHAnsi"/>
          <w:noProof/>
        </w:rPr>
        <w:fldChar w:fldCharType="separate"/>
      </w:r>
      <w:r w:rsidR="00FF69F8">
        <w:rPr>
          <w:rFonts w:asciiTheme="minorHAnsi" w:hAnsiTheme="minorHAnsi"/>
          <w:noProof/>
        </w:rPr>
        <w:t>53</w:t>
      </w:r>
      <w:r w:rsidRPr="00CA472B">
        <w:rPr>
          <w:rFonts w:asciiTheme="minorHAnsi" w:hAnsiTheme="minorHAnsi"/>
          <w:noProof/>
        </w:rPr>
        <w:fldChar w:fldCharType="end"/>
      </w:r>
    </w:p>
    <w:p w:rsidR="00684591" w:rsidRPr="00CA472B" w:rsidRDefault="00684591" w:rsidP="00CA472B">
      <w:pPr>
        <w:pStyle w:val="TOC3"/>
        <w:rPr>
          <w:rFonts w:asciiTheme="minorHAnsi" w:eastAsiaTheme="minorEastAsia" w:hAnsiTheme="minorHAnsi" w:cstheme="minorBidi"/>
          <w:noProof/>
        </w:rPr>
      </w:pPr>
      <w:r w:rsidRPr="00CA472B">
        <w:rPr>
          <w:rFonts w:asciiTheme="minorHAnsi" w:hAnsiTheme="minorHAnsi"/>
          <w:noProof/>
        </w:rPr>
        <w:t>3.5.5</w:t>
      </w:r>
      <w:r w:rsidRPr="00CA472B">
        <w:rPr>
          <w:rFonts w:asciiTheme="minorHAnsi" w:eastAsiaTheme="minorEastAsia" w:hAnsiTheme="minorHAnsi" w:cstheme="minorBidi"/>
          <w:noProof/>
        </w:rPr>
        <w:tab/>
      </w:r>
      <w:r w:rsidRPr="00CA472B">
        <w:rPr>
          <w:rFonts w:asciiTheme="minorHAnsi" w:hAnsiTheme="minorHAnsi"/>
          <w:noProof/>
        </w:rPr>
        <w:t xml:space="preserve"> Emissions Reduction Benefits for Other Pollutants</w:t>
      </w:r>
      <w:r w:rsidRPr="00CA472B">
        <w:rPr>
          <w:rFonts w:asciiTheme="minorHAnsi" w:hAnsiTheme="minorHAnsi"/>
          <w:noProof/>
        </w:rPr>
        <w:tab/>
      </w:r>
      <w:r w:rsidRPr="00CA472B">
        <w:rPr>
          <w:rFonts w:asciiTheme="minorHAnsi" w:hAnsiTheme="minorHAnsi"/>
          <w:noProof/>
        </w:rPr>
        <w:fldChar w:fldCharType="begin"/>
      </w:r>
      <w:r w:rsidRPr="00CA472B">
        <w:rPr>
          <w:rFonts w:asciiTheme="minorHAnsi" w:hAnsiTheme="minorHAnsi"/>
          <w:noProof/>
        </w:rPr>
        <w:instrText xml:space="preserve"> PAGEREF _Toc461027154 \h </w:instrText>
      </w:r>
      <w:r w:rsidRPr="00CA472B">
        <w:rPr>
          <w:rFonts w:asciiTheme="minorHAnsi" w:hAnsiTheme="minorHAnsi"/>
          <w:noProof/>
        </w:rPr>
      </w:r>
      <w:r w:rsidRPr="00CA472B">
        <w:rPr>
          <w:rFonts w:asciiTheme="minorHAnsi" w:hAnsiTheme="minorHAnsi"/>
          <w:noProof/>
        </w:rPr>
        <w:fldChar w:fldCharType="separate"/>
      </w:r>
      <w:r w:rsidR="00FF69F8">
        <w:rPr>
          <w:rFonts w:asciiTheme="minorHAnsi" w:hAnsiTheme="minorHAnsi"/>
          <w:noProof/>
        </w:rPr>
        <w:t>53</w:t>
      </w:r>
      <w:r w:rsidRPr="00CA472B">
        <w:rPr>
          <w:rFonts w:asciiTheme="minorHAnsi" w:hAnsiTheme="minorHAnsi"/>
          <w:noProof/>
        </w:rPr>
        <w:fldChar w:fldCharType="end"/>
      </w:r>
    </w:p>
    <w:p w:rsidR="00684591" w:rsidRPr="00CA472B" w:rsidRDefault="00684591" w:rsidP="00684591">
      <w:pPr>
        <w:pStyle w:val="TOC2"/>
        <w:tabs>
          <w:tab w:val="left" w:pos="880"/>
          <w:tab w:val="right" w:leader="dot" w:pos="9350"/>
        </w:tabs>
        <w:rPr>
          <w:rFonts w:asciiTheme="minorHAnsi" w:eastAsiaTheme="minorEastAsia" w:hAnsiTheme="minorHAnsi" w:cstheme="minorBidi"/>
          <w:noProof/>
          <w:sz w:val="22"/>
          <w:szCs w:val="22"/>
        </w:rPr>
      </w:pPr>
      <w:r w:rsidRPr="00CA472B">
        <w:rPr>
          <w:rFonts w:asciiTheme="minorHAnsi" w:hAnsiTheme="minorHAnsi"/>
          <w:noProof/>
          <w:sz w:val="22"/>
          <w:szCs w:val="22"/>
        </w:rPr>
        <w:t>3.6</w:t>
      </w:r>
      <w:r w:rsidRPr="00CA472B">
        <w:rPr>
          <w:rFonts w:asciiTheme="minorHAnsi" w:eastAsiaTheme="minorEastAsia" w:hAnsiTheme="minorHAnsi" w:cstheme="minorBidi"/>
          <w:noProof/>
          <w:sz w:val="22"/>
          <w:szCs w:val="22"/>
        </w:rPr>
        <w:tab/>
      </w:r>
      <w:r w:rsidRPr="00CA472B">
        <w:rPr>
          <w:rFonts w:asciiTheme="minorHAnsi" w:hAnsiTheme="minorHAnsi"/>
          <w:noProof/>
          <w:sz w:val="22"/>
          <w:szCs w:val="22"/>
        </w:rPr>
        <w:t>Aftermarket Catalytic Converters</w:t>
      </w:r>
      <w:r w:rsidRPr="00CA472B">
        <w:rPr>
          <w:rFonts w:asciiTheme="minorHAnsi" w:hAnsiTheme="minorHAnsi"/>
          <w:noProof/>
          <w:sz w:val="22"/>
          <w:szCs w:val="22"/>
        </w:rPr>
        <w:tab/>
      </w:r>
      <w:r w:rsidRPr="00CA472B">
        <w:rPr>
          <w:rFonts w:asciiTheme="minorHAnsi" w:hAnsiTheme="minorHAnsi"/>
          <w:noProof/>
          <w:sz w:val="22"/>
          <w:szCs w:val="22"/>
        </w:rPr>
        <w:fldChar w:fldCharType="begin"/>
      </w:r>
      <w:r w:rsidRPr="00CA472B">
        <w:rPr>
          <w:rFonts w:asciiTheme="minorHAnsi" w:hAnsiTheme="minorHAnsi"/>
          <w:noProof/>
          <w:sz w:val="22"/>
          <w:szCs w:val="22"/>
        </w:rPr>
        <w:instrText xml:space="preserve"> PAGEREF _Toc461027155 \h </w:instrText>
      </w:r>
      <w:r w:rsidRPr="00CA472B">
        <w:rPr>
          <w:rFonts w:asciiTheme="minorHAnsi" w:hAnsiTheme="minorHAnsi"/>
          <w:noProof/>
          <w:sz w:val="22"/>
          <w:szCs w:val="22"/>
        </w:rPr>
      </w:r>
      <w:r w:rsidRPr="00CA472B">
        <w:rPr>
          <w:rFonts w:asciiTheme="minorHAnsi" w:hAnsiTheme="minorHAnsi"/>
          <w:noProof/>
          <w:sz w:val="22"/>
          <w:szCs w:val="22"/>
        </w:rPr>
        <w:fldChar w:fldCharType="separate"/>
      </w:r>
      <w:r w:rsidR="00FF69F8">
        <w:rPr>
          <w:rFonts w:asciiTheme="minorHAnsi" w:hAnsiTheme="minorHAnsi"/>
          <w:noProof/>
          <w:sz w:val="22"/>
          <w:szCs w:val="22"/>
        </w:rPr>
        <w:t>54</w:t>
      </w:r>
      <w:r w:rsidRPr="00CA472B">
        <w:rPr>
          <w:rFonts w:asciiTheme="minorHAnsi" w:hAnsiTheme="minorHAnsi"/>
          <w:noProof/>
          <w:sz w:val="22"/>
          <w:szCs w:val="22"/>
        </w:rPr>
        <w:fldChar w:fldCharType="end"/>
      </w:r>
    </w:p>
    <w:p w:rsidR="00684591" w:rsidRPr="00CA472B" w:rsidRDefault="00684591" w:rsidP="00CA472B">
      <w:pPr>
        <w:pStyle w:val="TOC3"/>
        <w:rPr>
          <w:rFonts w:asciiTheme="minorHAnsi" w:eastAsiaTheme="minorEastAsia" w:hAnsiTheme="minorHAnsi" w:cstheme="minorBidi"/>
          <w:noProof/>
        </w:rPr>
      </w:pPr>
      <w:r w:rsidRPr="00CA472B">
        <w:rPr>
          <w:rFonts w:asciiTheme="minorHAnsi" w:eastAsia="Calibri" w:hAnsiTheme="minorHAnsi"/>
          <w:noProof/>
        </w:rPr>
        <w:t>3.6.1</w:t>
      </w:r>
      <w:r w:rsidRPr="00CA472B">
        <w:rPr>
          <w:rFonts w:asciiTheme="minorHAnsi" w:eastAsiaTheme="minorEastAsia" w:hAnsiTheme="minorHAnsi" w:cstheme="minorBidi"/>
          <w:noProof/>
        </w:rPr>
        <w:tab/>
      </w:r>
      <w:r w:rsidRPr="00CA472B">
        <w:rPr>
          <w:rFonts w:asciiTheme="minorHAnsi" w:eastAsia="Calibri" w:hAnsiTheme="minorHAnsi"/>
          <w:noProof/>
        </w:rPr>
        <w:t xml:space="preserve"> Existing Standards</w:t>
      </w:r>
      <w:r w:rsidRPr="00CA472B">
        <w:rPr>
          <w:rFonts w:asciiTheme="minorHAnsi" w:hAnsiTheme="minorHAnsi"/>
          <w:noProof/>
        </w:rPr>
        <w:tab/>
      </w:r>
      <w:r w:rsidRPr="00CA472B">
        <w:rPr>
          <w:rFonts w:asciiTheme="minorHAnsi" w:hAnsiTheme="minorHAnsi"/>
          <w:noProof/>
        </w:rPr>
        <w:fldChar w:fldCharType="begin"/>
      </w:r>
      <w:r w:rsidRPr="00CA472B">
        <w:rPr>
          <w:rFonts w:asciiTheme="minorHAnsi" w:hAnsiTheme="minorHAnsi"/>
          <w:noProof/>
        </w:rPr>
        <w:instrText xml:space="preserve"> PAGEREF _Toc461027156 \h </w:instrText>
      </w:r>
      <w:r w:rsidRPr="00CA472B">
        <w:rPr>
          <w:rFonts w:asciiTheme="minorHAnsi" w:hAnsiTheme="minorHAnsi"/>
          <w:noProof/>
        </w:rPr>
      </w:r>
      <w:r w:rsidRPr="00CA472B">
        <w:rPr>
          <w:rFonts w:asciiTheme="minorHAnsi" w:hAnsiTheme="minorHAnsi"/>
          <w:noProof/>
        </w:rPr>
        <w:fldChar w:fldCharType="separate"/>
      </w:r>
      <w:r w:rsidR="00FF69F8">
        <w:rPr>
          <w:rFonts w:asciiTheme="minorHAnsi" w:hAnsiTheme="minorHAnsi"/>
          <w:noProof/>
        </w:rPr>
        <w:t>54</w:t>
      </w:r>
      <w:r w:rsidRPr="00CA472B">
        <w:rPr>
          <w:rFonts w:asciiTheme="minorHAnsi" w:hAnsiTheme="minorHAnsi"/>
          <w:noProof/>
        </w:rPr>
        <w:fldChar w:fldCharType="end"/>
      </w:r>
    </w:p>
    <w:p w:rsidR="00684591" w:rsidRPr="00CA472B" w:rsidRDefault="00684591" w:rsidP="00CA472B">
      <w:pPr>
        <w:pStyle w:val="TOC3"/>
        <w:rPr>
          <w:rFonts w:asciiTheme="minorHAnsi" w:eastAsiaTheme="minorEastAsia" w:hAnsiTheme="minorHAnsi" w:cstheme="minorBidi"/>
          <w:noProof/>
        </w:rPr>
      </w:pPr>
      <w:r w:rsidRPr="00CA472B">
        <w:rPr>
          <w:rFonts w:asciiTheme="minorHAnsi" w:eastAsia="Calibri" w:hAnsiTheme="minorHAnsi"/>
          <w:noProof/>
        </w:rPr>
        <w:t>3.6.2</w:t>
      </w:r>
      <w:r w:rsidRPr="00CA472B">
        <w:rPr>
          <w:rFonts w:asciiTheme="minorHAnsi" w:eastAsiaTheme="minorEastAsia" w:hAnsiTheme="minorHAnsi" w:cstheme="minorBidi"/>
          <w:noProof/>
        </w:rPr>
        <w:tab/>
      </w:r>
      <w:r w:rsidRPr="00CA472B">
        <w:rPr>
          <w:rFonts w:asciiTheme="minorHAnsi" w:eastAsia="Calibri" w:hAnsiTheme="minorHAnsi"/>
          <w:noProof/>
        </w:rPr>
        <w:t xml:space="preserve"> The OTC Measure</w:t>
      </w:r>
      <w:r w:rsidRPr="00CA472B">
        <w:rPr>
          <w:rFonts w:asciiTheme="minorHAnsi" w:hAnsiTheme="minorHAnsi"/>
          <w:noProof/>
        </w:rPr>
        <w:tab/>
      </w:r>
      <w:r w:rsidRPr="00CA472B">
        <w:rPr>
          <w:rFonts w:asciiTheme="minorHAnsi" w:hAnsiTheme="minorHAnsi"/>
          <w:noProof/>
        </w:rPr>
        <w:fldChar w:fldCharType="begin"/>
      </w:r>
      <w:r w:rsidRPr="00CA472B">
        <w:rPr>
          <w:rFonts w:asciiTheme="minorHAnsi" w:hAnsiTheme="minorHAnsi"/>
          <w:noProof/>
        </w:rPr>
        <w:instrText xml:space="preserve"> PAGEREF _Toc461027157 \h </w:instrText>
      </w:r>
      <w:r w:rsidRPr="00CA472B">
        <w:rPr>
          <w:rFonts w:asciiTheme="minorHAnsi" w:hAnsiTheme="minorHAnsi"/>
          <w:noProof/>
        </w:rPr>
      </w:r>
      <w:r w:rsidRPr="00CA472B">
        <w:rPr>
          <w:rFonts w:asciiTheme="minorHAnsi" w:hAnsiTheme="minorHAnsi"/>
          <w:noProof/>
        </w:rPr>
        <w:fldChar w:fldCharType="separate"/>
      </w:r>
      <w:r w:rsidR="00FF69F8">
        <w:rPr>
          <w:rFonts w:asciiTheme="minorHAnsi" w:hAnsiTheme="minorHAnsi"/>
          <w:noProof/>
        </w:rPr>
        <w:t>55</w:t>
      </w:r>
      <w:r w:rsidRPr="00CA472B">
        <w:rPr>
          <w:rFonts w:asciiTheme="minorHAnsi" w:hAnsiTheme="minorHAnsi"/>
          <w:noProof/>
        </w:rPr>
        <w:fldChar w:fldCharType="end"/>
      </w:r>
    </w:p>
    <w:p w:rsidR="00684591" w:rsidRPr="00CA472B" w:rsidRDefault="00684591" w:rsidP="00CA472B">
      <w:pPr>
        <w:pStyle w:val="TOC3"/>
        <w:rPr>
          <w:rFonts w:asciiTheme="minorHAnsi" w:eastAsiaTheme="minorEastAsia" w:hAnsiTheme="minorHAnsi" w:cstheme="minorBidi"/>
          <w:noProof/>
        </w:rPr>
      </w:pPr>
      <w:r w:rsidRPr="00CA472B">
        <w:rPr>
          <w:rFonts w:asciiTheme="minorHAnsi" w:hAnsiTheme="minorHAnsi"/>
          <w:noProof/>
        </w:rPr>
        <w:t>3.6.3</w:t>
      </w:r>
      <w:r w:rsidRPr="00CA472B">
        <w:rPr>
          <w:rFonts w:asciiTheme="minorHAnsi" w:eastAsiaTheme="minorEastAsia" w:hAnsiTheme="minorHAnsi" w:cstheme="minorBidi"/>
          <w:noProof/>
        </w:rPr>
        <w:tab/>
      </w:r>
      <w:r w:rsidRPr="00CA472B">
        <w:rPr>
          <w:rFonts w:asciiTheme="minorHAnsi" w:hAnsiTheme="minorHAnsi"/>
          <w:noProof/>
        </w:rPr>
        <w:t xml:space="preserve"> NO</w:t>
      </w:r>
      <w:r w:rsidRPr="00CA472B">
        <w:rPr>
          <w:rFonts w:asciiTheme="minorHAnsi" w:hAnsiTheme="minorHAnsi"/>
          <w:noProof/>
          <w:vertAlign w:val="subscript"/>
        </w:rPr>
        <w:t>X</w:t>
      </w:r>
      <w:r w:rsidRPr="00CA472B">
        <w:rPr>
          <w:rFonts w:asciiTheme="minorHAnsi" w:hAnsiTheme="minorHAnsi"/>
          <w:noProof/>
        </w:rPr>
        <w:t xml:space="preserve"> Emissions Reduction Benefit</w:t>
      </w:r>
      <w:r w:rsidRPr="00CA472B">
        <w:rPr>
          <w:rFonts w:asciiTheme="minorHAnsi" w:hAnsiTheme="minorHAnsi"/>
          <w:noProof/>
        </w:rPr>
        <w:tab/>
      </w:r>
      <w:r w:rsidRPr="00CA472B">
        <w:rPr>
          <w:rFonts w:asciiTheme="minorHAnsi" w:hAnsiTheme="minorHAnsi"/>
          <w:noProof/>
        </w:rPr>
        <w:fldChar w:fldCharType="begin"/>
      </w:r>
      <w:r w:rsidRPr="00CA472B">
        <w:rPr>
          <w:rFonts w:asciiTheme="minorHAnsi" w:hAnsiTheme="minorHAnsi"/>
          <w:noProof/>
        </w:rPr>
        <w:instrText xml:space="preserve"> PAGEREF _Toc461027158 \h </w:instrText>
      </w:r>
      <w:r w:rsidRPr="00CA472B">
        <w:rPr>
          <w:rFonts w:asciiTheme="minorHAnsi" w:hAnsiTheme="minorHAnsi"/>
          <w:noProof/>
        </w:rPr>
      </w:r>
      <w:r w:rsidRPr="00CA472B">
        <w:rPr>
          <w:rFonts w:asciiTheme="minorHAnsi" w:hAnsiTheme="minorHAnsi"/>
          <w:noProof/>
        </w:rPr>
        <w:fldChar w:fldCharType="separate"/>
      </w:r>
      <w:r w:rsidR="00FF69F8">
        <w:rPr>
          <w:rFonts w:asciiTheme="minorHAnsi" w:hAnsiTheme="minorHAnsi"/>
          <w:noProof/>
        </w:rPr>
        <w:t>55</w:t>
      </w:r>
      <w:r w:rsidRPr="00CA472B">
        <w:rPr>
          <w:rFonts w:asciiTheme="minorHAnsi" w:hAnsiTheme="minorHAnsi"/>
          <w:noProof/>
        </w:rPr>
        <w:fldChar w:fldCharType="end"/>
      </w:r>
    </w:p>
    <w:p w:rsidR="00684591" w:rsidRPr="00CA472B" w:rsidRDefault="00684591" w:rsidP="00CA472B">
      <w:pPr>
        <w:pStyle w:val="TOC3"/>
        <w:rPr>
          <w:rFonts w:asciiTheme="minorHAnsi" w:eastAsiaTheme="minorEastAsia" w:hAnsiTheme="minorHAnsi" w:cstheme="minorBidi"/>
          <w:noProof/>
        </w:rPr>
      </w:pPr>
      <w:r w:rsidRPr="00CA472B">
        <w:rPr>
          <w:rFonts w:asciiTheme="minorHAnsi" w:eastAsia="Calibri" w:hAnsiTheme="minorHAnsi"/>
          <w:noProof/>
        </w:rPr>
        <w:t>3.6.4</w:t>
      </w:r>
      <w:r w:rsidRPr="00CA472B">
        <w:rPr>
          <w:rFonts w:asciiTheme="minorHAnsi" w:eastAsiaTheme="minorEastAsia" w:hAnsiTheme="minorHAnsi" w:cstheme="minorBidi"/>
          <w:noProof/>
        </w:rPr>
        <w:tab/>
      </w:r>
      <w:r w:rsidRPr="00CA472B">
        <w:rPr>
          <w:rFonts w:asciiTheme="minorHAnsi" w:eastAsia="Calibri" w:hAnsiTheme="minorHAnsi"/>
          <w:noProof/>
        </w:rPr>
        <w:t xml:space="preserve"> Control Cost Estimate</w:t>
      </w:r>
      <w:r w:rsidRPr="00CA472B">
        <w:rPr>
          <w:rFonts w:asciiTheme="minorHAnsi" w:hAnsiTheme="minorHAnsi"/>
          <w:noProof/>
        </w:rPr>
        <w:tab/>
      </w:r>
      <w:r w:rsidRPr="00CA472B">
        <w:rPr>
          <w:rFonts w:asciiTheme="minorHAnsi" w:hAnsiTheme="minorHAnsi"/>
          <w:noProof/>
        </w:rPr>
        <w:fldChar w:fldCharType="begin"/>
      </w:r>
      <w:r w:rsidRPr="00CA472B">
        <w:rPr>
          <w:rFonts w:asciiTheme="minorHAnsi" w:hAnsiTheme="minorHAnsi"/>
          <w:noProof/>
        </w:rPr>
        <w:instrText xml:space="preserve"> PAGEREF _Toc461027159 \h </w:instrText>
      </w:r>
      <w:r w:rsidRPr="00CA472B">
        <w:rPr>
          <w:rFonts w:asciiTheme="minorHAnsi" w:hAnsiTheme="minorHAnsi"/>
          <w:noProof/>
        </w:rPr>
      </w:r>
      <w:r w:rsidRPr="00CA472B">
        <w:rPr>
          <w:rFonts w:asciiTheme="minorHAnsi" w:hAnsiTheme="minorHAnsi"/>
          <w:noProof/>
        </w:rPr>
        <w:fldChar w:fldCharType="separate"/>
      </w:r>
      <w:r w:rsidR="00FF69F8">
        <w:rPr>
          <w:rFonts w:asciiTheme="minorHAnsi" w:hAnsiTheme="minorHAnsi"/>
          <w:noProof/>
        </w:rPr>
        <w:t>57</w:t>
      </w:r>
      <w:r w:rsidRPr="00CA472B">
        <w:rPr>
          <w:rFonts w:asciiTheme="minorHAnsi" w:hAnsiTheme="minorHAnsi"/>
          <w:noProof/>
        </w:rPr>
        <w:fldChar w:fldCharType="end"/>
      </w:r>
    </w:p>
    <w:p w:rsidR="00684591" w:rsidRPr="00CA472B" w:rsidRDefault="00684591" w:rsidP="00CA472B">
      <w:pPr>
        <w:pStyle w:val="TOC3"/>
        <w:rPr>
          <w:rFonts w:asciiTheme="minorHAnsi" w:eastAsiaTheme="minorEastAsia" w:hAnsiTheme="minorHAnsi" w:cstheme="minorBidi"/>
          <w:noProof/>
        </w:rPr>
      </w:pPr>
      <w:r w:rsidRPr="00CA472B">
        <w:rPr>
          <w:rFonts w:asciiTheme="minorHAnsi" w:hAnsiTheme="minorHAnsi"/>
          <w:noProof/>
        </w:rPr>
        <w:t>3.6.5</w:t>
      </w:r>
      <w:r w:rsidRPr="00CA472B">
        <w:rPr>
          <w:rFonts w:asciiTheme="minorHAnsi" w:eastAsiaTheme="minorEastAsia" w:hAnsiTheme="minorHAnsi" w:cstheme="minorBidi"/>
          <w:noProof/>
        </w:rPr>
        <w:tab/>
      </w:r>
      <w:r w:rsidRPr="00CA472B">
        <w:rPr>
          <w:rFonts w:asciiTheme="minorHAnsi" w:hAnsiTheme="minorHAnsi"/>
          <w:noProof/>
        </w:rPr>
        <w:t xml:space="preserve"> Emissions Reduction Benefits for Other Pollutants</w:t>
      </w:r>
      <w:r w:rsidRPr="00CA472B">
        <w:rPr>
          <w:rFonts w:asciiTheme="minorHAnsi" w:hAnsiTheme="minorHAnsi"/>
          <w:noProof/>
        </w:rPr>
        <w:tab/>
      </w:r>
      <w:r w:rsidRPr="00CA472B">
        <w:rPr>
          <w:rFonts w:asciiTheme="minorHAnsi" w:hAnsiTheme="minorHAnsi"/>
          <w:noProof/>
        </w:rPr>
        <w:fldChar w:fldCharType="begin"/>
      </w:r>
      <w:r w:rsidRPr="00CA472B">
        <w:rPr>
          <w:rFonts w:asciiTheme="minorHAnsi" w:hAnsiTheme="minorHAnsi"/>
          <w:noProof/>
        </w:rPr>
        <w:instrText xml:space="preserve"> PAGEREF _Toc461027160 \h </w:instrText>
      </w:r>
      <w:r w:rsidRPr="00CA472B">
        <w:rPr>
          <w:rFonts w:asciiTheme="minorHAnsi" w:hAnsiTheme="minorHAnsi"/>
          <w:noProof/>
        </w:rPr>
      </w:r>
      <w:r w:rsidRPr="00CA472B">
        <w:rPr>
          <w:rFonts w:asciiTheme="minorHAnsi" w:hAnsiTheme="minorHAnsi"/>
          <w:noProof/>
        </w:rPr>
        <w:fldChar w:fldCharType="separate"/>
      </w:r>
      <w:r w:rsidR="00FF69F8">
        <w:rPr>
          <w:rFonts w:asciiTheme="minorHAnsi" w:hAnsiTheme="minorHAnsi"/>
          <w:noProof/>
        </w:rPr>
        <w:t>58</w:t>
      </w:r>
      <w:r w:rsidRPr="00CA472B">
        <w:rPr>
          <w:rFonts w:asciiTheme="minorHAnsi" w:hAnsiTheme="minorHAnsi"/>
          <w:noProof/>
        </w:rPr>
        <w:fldChar w:fldCharType="end"/>
      </w:r>
    </w:p>
    <w:p w:rsidR="0080655C" w:rsidRPr="00684591" w:rsidRDefault="00684591" w:rsidP="00684591">
      <w:pPr>
        <w:spacing w:after="100" w:line="240" w:lineRule="auto"/>
        <w:jc w:val="both"/>
        <w:rPr>
          <w:rFonts w:asciiTheme="minorHAnsi" w:hAnsiTheme="minorHAnsi"/>
          <w:sz w:val="22"/>
        </w:rPr>
      </w:pPr>
      <w:r w:rsidRPr="00CA472B">
        <w:rPr>
          <w:rFonts w:asciiTheme="minorHAnsi" w:hAnsiTheme="minorHAnsi" w:cs="Times New Roman"/>
          <w:sz w:val="22"/>
        </w:rPr>
        <w:fldChar w:fldCharType="end"/>
      </w:r>
    </w:p>
    <w:p w:rsidR="008C11C9" w:rsidRDefault="00A51E9F" w:rsidP="00FF69F8">
      <w:pPr>
        <w:spacing w:after="100" w:line="240" w:lineRule="auto"/>
        <w:jc w:val="both"/>
        <w:rPr>
          <w:noProof/>
        </w:rPr>
      </w:pPr>
      <w:r w:rsidRPr="00FF69F8">
        <w:rPr>
          <w:rFonts w:asciiTheme="minorHAnsi" w:hAnsiTheme="minorHAnsi"/>
          <w:b/>
          <w:szCs w:val="24"/>
        </w:rPr>
        <w:t xml:space="preserve">LIST OF </w:t>
      </w:r>
      <w:r w:rsidR="00CA472B" w:rsidRPr="00FF69F8">
        <w:rPr>
          <w:rFonts w:asciiTheme="minorHAnsi" w:hAnsiTheme="minorHAnsi"/>
          <w:b/>
          <w:szCs w:val="24"/>
        </w:rPr>
        <w:t xml:space="preserve">TABLES AND </w:t>
      </w:r>
      <w:r w:rsidRPr="00FF69F8">
        <w:rPr>
          <w:rFonts w:asciiTheme="minorHAnsi" w:hAnsiTheme="minorHAnsi"/>
          <w:b/>
          <w:szCs w:val="24"/>
        </w:rPr>
        <w:t xml:space="preserve">FIGURES </w:t>
      </w:r>
      <w:r w:rsidR="0080655C" w:rsidRPr="00CA472B">
        <w:rPr>
          <w:rFonts w:asciiTheme="minorHAnsi" w:hAnsiTheme="minorHAnsi"/>
          <w:b/>
          <w:szCs w:val="24"/>
        </w:rPr>
        <w:fldChar w:fldCharType="begin"/>
      </w:r>
      <w:r w:rsidR="0080655C" w:rsidRPr="00FF69F8">
        <w:rPr>
          <w:rFonts w:asciiTheme="minorHAnsi" w:hAnsiTheme="minorHAnsi"/>
          <w:b/>
          <w:szCs w:val="24"/>
        </w:rPr>
        <w:instrText xml:space="preserve"> TOC \f F \t "Caption" \c </w:instrText>
      </w:r>
      <w:r w:rsidR="0080655C" w:rsidRPr="00CA472B">
        <w:rPr>
          <w:rFonts w:asciiTheme="minorHAnsi" w:hAnsiTheme="minorHAnsi"/>
          <w:b/>
          <w:szCs w:val="24"/>
        </w:rPr>
        <w:fldChar w:fldCharType="separate"/>
      </w:r>
    </w:p>
    <w:p w:rsidR="008C11C9" w:rsidRPr="008C11C9" w:rsidRDefault="008C11C9" w:rsidP="008C11C9">
      <w:pPr>
        <w:pStyle w:val="TableofFigures"/>
        <w:tabs>
          <w:tab w:val="left" w:pos="1320"/>
          <w:tab w:val="right" w:leader="dot" w:pos="9350"/>
        </w:tabs>
        <w:spacing w:after="100" w:line="240" w:lineRule="auto"/>
        <w:rPr>
          <w:rFonts w:asciiTheme="minorHAnsi" w:eastAsiaTheme="minorEastAsia" w:hAnsiTheme="minorHAnsi"/>
          <w:noProof/>
          <w:sz w:val="22"/>
        </w:rPr>
      </w:pPr>
      <w:r w:rsidRPr="008C11C9">
        <w:rPr>
          <w:rFonts w:asciiTheme="minorHAnsi" w:hAnsiTheme="minorHAnsi"/>
          <w:noProof/>
          <w:sz w:val="22"/>
        </w:rPr>
        <w:t>Table 2-1</w:t>
      </w:r>
      <w:r w:rsidRPr="008C11C9">
        <w:rPr>
          <w:rFonts w:asciiTheme="minorHAnsi" w:eastAsiaTheme="minorEastAsia" w:hAnsiTheme="minorHAnsi"/>
          <w:noProof/>
          <w:sz w:val="22"/>
        </w:rPr>
        <w:tab/>
      </w:r>
      <w:r w:rsidRPr="008C11C9">
        <w:rPr>
          <w:rFonts w:asciiTheme="minorHAnsi" w:hAnsiTheme="minorHAnsi"/>
          <w:noProof/>
          <w:sz w:val="22"/>
        </w:rPr>
        <w:t>Eliminated and Absorbed Categories</w:t>
      </w:r>
      <w:r w:rsidRPr="008C11C9">
        <w:rPr>
          <w:noProof/>
          <w:sz w:val="22"/>
        </w:rPr>
        <w:tab/>
      </w:r>
      <w:r w:rsidRPr="008C11C9">
        <w:rPr>
          <w:noProof/>
          <w:sz w:val="22"/>
        </w:rPr>
        <w:fldChar w:fldCharType="begin"/>
      </w:r>
      <w:r w:rsidRPr="008C11C9">
        <w:rPr>
          <w:noProof/>
          <w:sz w:val="22"/>
        </w:rPr>
        <w:instrText xml:space="preserve"> PAGEREF _Toc461106797 \h </w:instrText>
      </w:r>
      <w:r w:rsidRPr="008C11C9">
        <w:rPr>
          <w:noProof/>
          <w:sz w:val="22"/>
        </w:rPr>
      </w:r>
      <w:r w:rsidRPr="008C11C9">
        <w:rPr>
          <w:noProof/>
          <w:sz w:val="22"/>
        </w:rPr>
        <w:fldChar w:fldCharType="separate"/>
      </w:r>
      <w:r w:rsidRPr="008C11C9">
        <w:rPr>
          <w:noProof/>
          <w:sz w:val="22"/>
        </w:rPr>
        <w:t>21</w:t>
      </w:r>
      <w:r w:rsidRPr="008C11C9">
        <w:rPr>
          <w:noProof/>
          <w:sz w:val="22"/>
        </w:rPr>
        <w:fldChar w:fldCharType="end"/>
      </w:r>
    </w:p>
    <w:p w:rsidR="008C11C9" w:rsidRPr="008C11C9" w:rsidRDefault="008C11C9" w:rsidP="008C11C9">
      <w:pPr>
        <w:pStyle w:val="TableofFigures"/>
        <w:tabs>
          <w:tab w:val="left" w:pos="1320"/>
          <w:tab w:val="right" w:leader="dot" w:pos="9350"/>
        </w:tabs>
        <w:spacing w:after="100" w:line="240" w:lineRule="auto"/>
        <w:rPr>
          <w:rFonts w:asciiTheme="minorHAnsi" w:eastAsiaTheme="minorEastAsia" w:hAnsiTheme="minorHAnsi"/>
          <w:noProof/>
          <w:sz w:val="22"/>
        </w:rPr>
      </w:pPr>
      <w:r w:rsidRPr="008C11C9">
        <w:rPr>
          <w:rFonts w:asciiTheme="minorHAnsi" w:hAnsiTheme="minorHAnsi"/>
          <w:noProof/>
          <w:sz w:val="22"/>
        </w:rPr>
        <w:t>Table 2-2</w:t>
      </w:r>
      <w:r w:rsidRPr="008C11C9">
        <w:rPr>
          <w:rFonts w:asciiTheme="minorHAnsi" w:eastAsiaTheme="minorEastAsia" w:hAnsiTheme="minorHAnsi"/>
          <w:noProof/>
          <w:sz w:val="22"/>
        </w:rPr>
        <w:tab/>
      </w:r>
      <w:r w:rsidRPr="008C11C9">
        <w:rPr>
          <w:rFonts w:asciiTheme="minorHAnsi" w:hAnsiTheme="minorHAnsi"/>
          <w:noProof/>
          <w:sz w:val="22"/>
        </w:rPr>
        <w:t>New Coating Categories</w:t>
      </w:r>
      <w:r w:rsidRPr="008C11C9">
        <w:rPr>
          <w:noProof/>
          <w:sz w:val="22"/>
        </w:rPr>
        <w:tab/>
      </w:r>
      <w:r w:rsidRPr="008C11C9">
        <w:rPr>
          <w:noProof/>
          <w:sz w:val="22"/>
        </w:rPr>
        <w:fldChar w:fldCharType="begin"/>
      </w:r>
      <w:r w:rsidRPr="008C11C9">
        <w:rPr>
          <w:noProof/>
          <w:sz w:val="22"/>
        </w:rPr>
        <w:instrText xml:space="preserve"> PAGEREF _Toc461106798 \h </w:instrText>
      </w:r>
      <w:r w:rsidRPr="008C11C9">
        <w:rPr>
          <w:noProof/>
          <w:sz w:val="22"/>
        </w:rPr>
      </w:r>
      <w:r w:rsidRPr="008C11C9">
        <w:rPr>
          <w:noProof/>
          <w:sz w:val="22"/>
        </w:rPr>
        <w:fldChar w:fldCharType="separate"/>
      </w:r>
      <w:r w:rsidRPr="008C11C9">
        <w:rPr>
          <w:noProof/>
          <w:sz w:val="22"/>
        </w:rPr>
        <w:t>22</w:t>
      </w:r>
      <w:r w:rsidRPr="008C11C9">
        <w:rPr>
          <w:noProof/>
          <w:sz w:val="22"/>
        </w:rPr>
        <w:fldChar w:fldCharType="end"/>
      </w:r>
    </w:p>
    <w:p w:rsidR="008C11C9" w:rsidRPr="008C11C9" w:rsidRDefault="008C11C9" w:rsidP="008C11C9">
      <w:pPr>
        <w:pStyle w:val="TableofFigures"/>
        <w:tabs>
          <w:tab w:val="left" w:pos="1320"/>
          <w:tab w:val="right" w:leader="dot" w:pos="9350"/>
        </w:tabs>
        <w:spacing w:after="100" w:line="240" w:lineRule="auto"/>
        <w:rPr>
          <w:rFonts w:asciiTheme="minorHAnsi" w:eastAsiaTheme="minorEastAsia" w:hAnsiTheme="minorHAnsi"/>
          <w:noProof/>
          <w:sz w:val="22"/>
        </w:rPr>
      </w:pPr>
      <w:r w:rsidRPr="008C11C9">
        <w:rPr>
          <w:rFonts w:asciiTheme="minorHAnsi" w:hAnsiTheme="minorHAnsi"/>
          <w:noProof/>
          <w:sz w:val="22"/>
        </w:rPr>
        <w:t>Table 2-3</w:t>
      </w:r>
      <w:r w:rsidRPr="008C11C9">
        <w:rPr>
          <w:rFonts w:asciiTheme="minorHAnsi" w:eastAsiaTheme="minorEastAsia" w:hAnsiTheme="minorHAnsi"/>
          <w:noProof/>
          <w:sz w:val="22"/>
        </w:rPr>
        <w:tab/>
      </w:r>
      <w:r w:rsidRPr="008C11C9">
        <w:rPr>
          <w:rFonts w:asciiTheme="minorHAnsi" w:hAnsiTheme="minorHAnsi"/>
          <w:noProof/>
          <w:sz w:val="22"/>
        </w:rPr>
        <w:t>Proposed categories for lowered VOC limits</w:t>
      </w:r>
      <w:r w:rsidRPr="008C11C9">
        <w:rPr>
          <w:noProof/>
          <w:sz w:val="22"/>
        </w:rPr>
        <w:tab/>
      </w:r>
      <w:r w:rsidRPr="008C11C9">
        <w:rPr>
          <w:noProof/>
          <w:sz w:val="22"/>
        </w:rPr>
        <w:fldChar w:fldCharType="begin"/>
      </w:r>
      <w:r w:rsidRPr="008C11C9">
        <w:rPr>
          <w:noProof/>
          <w:sz w:val="22"/>
        </w:rPr>
        <w:instrText xml:space="preserve"> PAGEREF _Toc461106799 \h </w:instrText>
      </w:r>
      <w:r w:rsidRPr="008C11C9">
        <w:rPr>
          <w:noProof/>
          <w:sz w:val="22"/>
        </w:rPr>
      </w:r>
      <w:r w:rsidRPr="008C11C9">
        <w:rPr>
          <w:noProof/>
          <w:sz w:val="22"/>
        </w:rPr>
        <w:fldChar w:fldCharType="separate"/>
      </w:r>
      <w:r w:rsidRPr="008C11C9">
        <w:rPr>
          <w:noProof/>
          <w:sz w:val="22"/>
        </w:rPr>
        <w:t>22</w:t>
      </w:r>
      <w:r w:rsidRPr="008C11C9">
        <w:rPr>
          <w:noProof/>
          <w:sz w:val="22"/>
        </w:rPr>
        <w:fldChar w:fldCharType="end"/>
      </w:r>
    </w:p>
    <w:p w:rsidR="008C11C9" w:rsidRPr="008C11C9" w:rsidRDefault="008C11C9" w:rsidP="008C11C9">
      <w:pPr>
        <w:pStyle w:val="TableofFigures"/>
        <w:tabs>
          <w:tab w:val="left" w:pos="1320"/>
          <w:tab w:val="right" w:leader="dot" w:pos="9350"/>
        </w:tabs>
        <w:spacing w:after="100" w:line="240" w:lineRule="auto"/>
        <w:rPr>
          <w:rFonts w:asciiTheme="minorHAnsi" w:eastAsiaTheme="minorEastAsia" w:hAnsiTheme="minorHAnsi"/>
          <w:noProof/>
          <w:sz w:val="22"/>
        </w:rPr>
      </w:pPr>
      <w:r w:rsidRPr="008C11C9">
        <w:rPr>
          <w:rFonts w:asciiTheme="minorHAnsi" w:hAnsiTheme="minorHAnsi"/>
          <w:noProof/>
          <w:sz w:val="22"/>
        </w:rPr>
        <w:t>Figure 2-1</w:t>
      </w:r>
      <w:r w:rsidRPr="008C11C9">
        <w:rPr>
          <w:rFonts w:asciiTheme="minorHAnsi" w:eastAsiaTheme="minorEastAsia" w:hAnsiTheme="minorHAnsi"/>
          <w:noProof/>
          <w:sz w:val="22"/>
        </w:rPr>
        <w:tab/>
      </w:r>
      <w:r w:rsidRPr="008C11C9">
        <w:rPr>
          <w:rFonts w:asciiTheme="minorHAnsi" w:hAnsiTheme="minorHAnsi"/>
          <w:noProof/>
          <w:sz w:val="22"/>
        </w:rPr>
        <w:t>California Air Districts with Roof Coating Limits</w:t>
      </w:r>
      <w:r w:rsidRPr="008C11C9">
        <w:rPr>
          <w:noProof/>
          <w:sz w:val="22"/>
        </w:rPr>
        <w:tab/>
      </w:r>
      <w:r w:rsidRPr="008C11C9">
        <w:rPr>
          <w:noProof/>
          <w:sz w:val="22"/>
        </w:rPr>
        <w:fldChar w:fldCharType="begin"/>
      </w:r>
      <w:r w:rsidRPr="008C11C9">
        <w:rPr>
          <w:noProof/>
          <w:sz w:val="22"/>
        </w:rPr>
        <w:instrText xml:space="preserve"> PAGEREF _Toc461106800 \h </w:instrText>
      </w:r>
      <w:r w:rsidRPr="008C11C9">
        <w:rPr>
          <w:noProof/>
          <w:sz w:val="22"/>
        </w:rPr>
      </w:r>
      <w:r w:rsidRPr="008C11C9">
        <w:rPr>
          <w:noProof/>
          <w:sz w:val="22"/>
        </w:rPr>
        <w:fldChar w:fldCharType="separate"/>
      </w:r>
      <w:r w:rsidRPr="008C11C9">
        <w:rPr>
          <w:noProof/>
          <w:sz w:val="22"/>
        </w:rPr>
        <w:t>25</w:t>
      </w:r>
      <w:r w:rsidRPr="008C11C9">
        <w:rPr>
          <w:noProof/>
          <w:sz w:val="22"/>
        </w:rPr>
        <w:fldChar w:fldCharType="end"/>
      </w:r>
    </w:p>
    <w:p w:rsidR="008C11C9" w:rsidRPr="008C11C9" w:rsidRDefault="008C11C9" w:rsidP="008C11C9">
      <w:pPr>
        <w:pStyle w:val="TableofFigures"/>
        <w:tabs>
          <w:tab w:val="left" w:pos="1320"/>
          <w:tab w:val="right" w:leader="dot" w:pos="9350"/>
        </w:tabs>
        <w:spacing w:after="100" w:line="240" w:lineRule="auto"/>
        <w:rPr>
          <w:rFonts w:asciiTheme="minorHAnsi" w:eastAsiaTheme="minorEastAsia" w:hAnsiTheme="minorHAnsi"/>
          <w:noProof/>
          <w:sz w:val="22"/>
        </w:rPr>
      </w:pPr>
      <w:r w:rsidRPr="008C11C9">
        <w:rPr>
          <w:noProof/>
          <w:sz w:val="22"/>
        </w:rPr>
        <w:t>Table 2-4</w:t>
      </w:r>
      <w:r w:rsidRPr="008C11C9">
        <w:rPr>
          <w:rFonts w:asciiTheme="minorHAnsi" w:eastAsiaTheme="minorEastAsia" w:hAnsiTheme="minorHAnsi"/>
          <w:noProof/>
          <w:sz w:val="22"/>
        </w:rPr>
        <w:tab/>
      </w:r>
      <w:r w:rsidRPr="008C11C9">
        <w:rPr>
          <w:noProof/>
          <w:sz w:val="22"/>
        </w:rPr>
        <w:t>Emission Limits for Halogenated Solvent Cleaners</w:t>
      </w:r>
      <w:r w:rsidRPr="008C11C9">
        <w:rPr>
          <w:noProof/>
          <w:sz w:val="22"/>
        </w:rPr>
        <w:tab/>
      </w:r>
      <w:r w:rsidRPr="008C11C9">
        <w:rPr>
          <w:noProof/>
          <w:sz w:val="22"/>
        </w:rPr>
        <w:fldChar w:fldCharType="begin"/>
      </w:r>
      <w:r w:rsidRPr="008C11C9">
        <w:rPr>
          <w:noProof/>
          <w:sz w:val="22"/>
        </w:rPr>
        <w:instrText xml:space="preserve"> PAGEREF _Toc461106801 \h </w:instrText>
      </w:r>
      <w:r w:rsidRPr="008C11C9">
        <w:rPr>
          <w:noProof/>
          <w:sz w:val="22"/>
        </w:rPr>
      </w:r>
      <w:r w:rsidRPr="008C11C9">
        <w:rPr>
          <w:noProof/>
          <w:sz w:val="22"/>
        </w:rPr>
        <w:fldChar w:fldCharType="separate"/>
      </w:r>
      <w:r w:rsidRPr="008C11C9">
        <w:rPr>
          <w:noProof/>
          <w:sz w:val="22"/>
        </w:rPr>
        <w:t>28</w:t>
      </w:r>
      <w:r w:rsidRPr="008C11C9">
        <w:rPr>
          <w:noProof/>
          <w:sz w:val="22"/>
        </w:rPr>
        <w:fldChar w:fldCharType="end"/>
      </w:r>
    </w:p>
    <w:p w:rsidR="008C11C9" w:rsidRPr="008C11C9" w:rsidRDefault="008C11C9" w:rsidP="008C11C9">
      <w:pPr>
        <w:pStyle w:val="TableofFigures"/>
        <w:tabs>
          <w:tab w:val="left" w:pos="1320"/>
          <w:tab w:val="right" w:leader="dot" w:pos="9350"/>
        </w:tabs>
        <w:spacing w:after="100" w:line="240" w:lineRule="auto"/>
        <w:rPr>
          <w:rFonts w:asciiTheme="minorHAnsi" w:eastAsiaTheme="minorEastAsia" w:hAnsiTheme="minorHAnsi"/>
          <w:noProof/>
          <w:sz w:val="22"/>
        </w:rPr>
      </w:pPr>
      <w:r w:rsidRPr="008C11C9">
        <w:rPr>
          <w:rFonts w:asciiTheme="minorHAnsi" w:hAnsiTheme="minorHAnsi"/>
          <w:noProof/>
          <w:sz w:val="22"/>
        </w:rPr>
        <w:t>Table 3-1</w:t>
      </w:r>
      <w:r w:rsidRPr="008C11C9">
        <w:rPr>
          <w:rFonts w:asciiTheme="minorHAnsi" w:eastAsiaTheme="minorEastAsia" w:hAnsiTheme="minorHAnsi"/>
          <w:noProof/>
          <w:sz w:val="22"/>
        </w:rPr>
        <w:tab/>
      </w:r>
      <w:r w:rsidRPr="008C11C9">
        <w:rPr>
          <w:rFonts w:asciiTheme="minorHAnsi" w:hAnsiTheme="minorHAnsi"/>
          <w:noProof/>
          <w:sz w:val="22"/>
        </w:rPr>
        <w:t>New Sources Performance Standard for non-emergency generators</w:t>
      </w:r>
      <w:r w:rsidRPr="008C11C9">
        <w:rPr>
          <w:noProof/>
          <w:sz w:val="22"/>
        </w:rPr>
        <w:tab/>
      </w:r>
      <w:r w:rsidRPr="008C11C9">
        <w:rPr>
          <w:noProof/>
          <w:sz w:val="22"/>
        </w:rPr>
        <w:fldChar w:fldCharType="begin"/>
      </w:r>
      <w:r w:rsidRPr="008C11C9">
        <w:rPr>
          <w:noProof/>
          <w:sz w:val="22"/>
        </w:rPr>
        <w:instrText xml:space="preserve"> PAGEREF _Toc461106802 \h </w:instrText>
      </w:r>
      <w:r w:rsidRPr="008C11C9">
        <w:rPr>
          <w:noProof/>
          <w:sz w:val="22"/>
        </w:rPr>
      </w:r>
      <w:r w:rsidRPr="008C11C9">
        <w:rPr>
          <w:noProof/>
          <w:sz w:val="22"/>
        </w:rPr>
        <w:fldChar w:fldCharType="separate"/>
      </w:r>
      <w:r w:rsidRPr="008C11C9">
        <w:rPr>
          <w:noProof/>
          <w:sz w:val="22"/>
        </w:rPr>
        <w:t>33</w:t>
      </w:r>
      <w:r w:rsidRPr="008C11C9">
        <w:rPr>
          <w:noProof/>
          <w:sz w:val="22"/>
        </w:rPr>
        <w:fldChar w:fldCharType="end"/>
      </w:r>
    </w:p>
    <w:p w:rsidR="008C11C9" w:rsidRPr="008C11C9" w:rsidRDefault="008C11C9" w:rsidP="008C11C9">
      <w:pPr>
        <w:pStyle w:val="TableofFigures"/>
        <w:tabs>
          <w:tab w:val="left" w:pos="1320"/>
          <w:tab w:val="right" w:leader="dot" w:pos="9350"/>
        </w:tabs>
        <w:spacing w:after="100" w:line="240" w:lineRule="auto"/>
        <w:rPr>
          <w:rFonts w:asciiTheme="minorHAnsi" w:eastAsiaTheme="minorEastAsia" w:hAnsiTheme="minorHAnsi"/>
          <w:noProof/>
          <w:sz w:val="22"/>
        </w:rPr>
      </w:pPr>
      <w:r w:rsidRPr="008C11C9">
        <w:rPr>
          <w:rFonts w:asciiTheme="minorHAnsi" w:hAnsiTheme="minorHAnsi"/>
          <w:noProof/>
          <w:sz w:val="22"/>
        </w:rPr>
        <w:t>Table 3-2</w:t>
      </w:r>
      <w:r w:rsidRPr="008C11C9">
        <w:rPr>
          <w:rFonts w:asciiTheme="minorHAnsi" w:eastAsiaTheme="minorEastAsia" w:hAnsiTheme="minorHAnsi"/>
          <w:noProof/>
          <w:sz w:val="22"/>
        </w:rPr>
        <w:tab/>
      </w:r>
      <w:r w:rsidRPr="008C11C9">
        <w:rPr>
          <w:rFonts w:asciiTheme="minorHAnsi" w:hAnsiTheme="minorHAnsi"/>
          <w:noProof/>
          <w:sz w:val="22"/>
        </w:rPr>
        <w:t>Emissions standards for all new, non-emergency generators fueled by waste or landfill gases</w:t>
      </w:r>
      <w:r>
        <w:rPr>
          <w:rFonts w:asciiTheme="minorHAnsi" w:hAnsiTheme="minorHAnsi"/>
          <w:noProof/>
          <w:sz w:val="22"/>
        </w:rPr>
        <w:t>………………………….</w:t>
      </w:r>
      <w:r w:rsidRPr="008C11C9">
        <w:rPr>
          <w:noProof/>
          <w:sz w:val="22"/>
        </w:rPr>
        <w:tab/>
      </w:r>
      <w:r>
        <w:rPr>
          <w:noProof/>
          <w:sz w:val="22"/>
        </w:rPr>
        <w:t>…………………………</w:t>
      </w:r>
      <w:r w:rsidRPr="008C11C9">
        <w:rPr>
          <w:noProof/>
          <w:sz w:val="22"/>
        </w:rPr>
        <w:fldChar w:fldCharType="begin"/>
      </w:r>
      <w:r w:rsidRPr="008C11C9">
        <w:rPr>
          <w:noProof/>
          <w:sz w:val="22"/>
        </w:rPr>
        <w:instrText xml:space="preserve"> PAGEREF _Toc461106803 \h </w:instrText>
      </w:r>
      <w:r w:rsidRPr="008C11C9">
        <w:rPr>
          <w:noProof/>
          <w:sz w:val="22"/>
        </w:rPr>
      </w:r>
      <w:r w:rsidRPr="008C11C9">
        <w:rPr>
          <w:noProof/>
          <w:sz w:val="22"/>
        </w:rPr>
        <w:fldChar w:fldCharType="separate"/>
      </w:r>
      <w:r w:rsidRPr="008C11C9">
        <w:rPr>
          <w:noProof/>
          <w:sz w:val="22"/>
        </w:rPr>
        <w:t>33</w:t>
      </w:r>
      <w:r w:rsidRPr="008C11C9">
        <w:rPr>
          <w:noProof/>
          <w:sz w:val="22"/>
        </w:rPr>
        <w:fldChar w:fldCharType="end"/>
      </w:r>
    </w:p>
    <w:p w:rsidR="008C11C9" w:rsidRPr="008C11C9" w:rsidRDefault="008C11C9" w:rsidP="008C11C9">
      <w:pPr>
        <w:pStyle w:val="TableofFigures"/>
        <w:tabs>
          <w:tab w:val="left" w:pos="1320"/>
          <w:tab w:val="right" w:leader="dot" w:pos="9350"/>
        </w:tabs>
        <w:spacing w:after="100" w:line="240" w:lineRule="auto"/>
        <w:rPr>
          <w:rFonts w:asciiTheme="minorHAnsi" w:eastAsiaTheme="minorEastAsia" w:hAnsiTheme="minorHAnsi"/>
          <w:noProof/>
          <w:sz w:val="22"/>
        </w:rPr>
      </w:pPr>
      <w:r w:rsidRPr="008C11C9">
        <w:rPr>
          <w:rFonts w:asciiTheme="minorHAnsi" w:hAnsiTheme="minorHAnsi"/>
          <w:noProof/>
          <w:sz w:val="22"/>
        </w:rPr>
        <w:t>Table 3-3</w:t>
      </w:r>
      <w:r w:rsidRPr="008C11C9">
        <w:rPr>
          <w:rFonts w:asciiTheme="minorHAnsi" w:eastAsiaTheme="minorEastAsia" w:hAnsiTheme="minorHAnsi"/>
          <w:noProof/>
          <w:sz w:val="22"/>
        </w:rPr>
        <w:tab/>
      </w:r>
      <w:r w:rsidRPr="008C11C9">
        <w:rPr>
          <w:rFonts w:asciiTheme="minorHAnsi" w:hAnsiTheme="minorHAnsi"/>
          <w:noProof/>
          <w:sz w:val="22"/>
        </w:rPr>
        <w:t>Emissions standard for existing, non-emergency generators</w:t>
      </w:r>
      <w:r w:rsidRPr="008C11C9">
        <w:rPr>
          <w:noProof/>
          <w:sz w:val="22"/>
        </w:rPr>
        <w:tab/>
      </w:r>
      <w:r w:rsidRPr="008C11C9">
        <w:rPr>
          <w:noProof/>
          <w:sz w:val="22"/>
        </w:rPr>
        <w:fldChar w:fldCharType="begin"/>
      </w:r>
      <w:r w:rsidRPr="008C11C9">
        <w:rPr>
          <w:noProof/>
          <w:sz w:val="22"/>
        </w:rPr>
        <w:instrText xml:space="preserve"> PAGEREF _Toc461106804 \h </w:instrText>
      </w:r>
      <w:r w:rsidRPr="008C11C9">
        <w:rPr>
          <w:noProof/>
          <w:sz w:val="22"/>
        </w:rPr>
      </w:r>
      <w:r w:rsidRPr="008C11C9">
        <w:rPr>
          <w:noProof/>
          <w:sz w:val="22"/>
        </w:rPr>
        <w:fldChar w:fldCharType="separate"/>
      </w:r>
      <w:r w:rsidRPr="008C11C9">
        <w:rPr>
          <w:noProof/>
          <w:sz w:val="22"/>
        </w:rPr>
        <w:t>33</w:t>
      </w:r>
      <w:r w:rsidRPr="008C11C9">
        <w:rPr>
          <w:noProof/>
          <w:sz w:val="22"/>
        </w:rPr>
        <w:fldChar w:fldCharType="end"/>
      </w:r>
    </w:p>
    <w:p w:rsidR="008C11C9" w:rsidRPr="008C11C9" w:rsidRDefault="008C11C9" w:rsidP="008C11C9">
      <w:pPr>
        <w:pStyle w:val="TableofFigures"/>
        <w:tabs>
          <w:tab w:val="left" w:pos="1320"/>
          <w:tab w:val="right" w:leader="dot" w:pos="9350"/>
        </w:tabs>
        <w:spacing w:after="100" w:line="240" w:lineRule="auto"/>
        <w:rPr>
          <w:rFonts w:asciiTheme="minorHAnsi" w:eastAsiaTheme="minorEastAsia" w:hAnsiTheme="minorHAnsi"/>
          <w:noProof/>
          <w:sz w:val="22"/>
        </w:rPr>
      </w:pPr>
      <w:r w:rsidRPr="008C11C9">
        <w:rPr>
          <w:rFonts w:asciiTheme="minorHAnsi" w:hAnsiTheme="minorHAnsi"/>
          <w:noProof/>
          <w:sz w:val="22"/>
        </w:rPr>
        <w:t>Table 3-4</w:t>
      </w:r>
      <w:r w:rsidRPr="008C11C9">
        <w:rPr>
          <w:rFonts w:asciiTheme="minorHAnsi" w:eastAsiaTheme="minorEastAsia" w:hAnsiTheme="minorHAnsi"/>
          <w:noProof/>
          <w:sz w:val="22"/>
        </w:rPr>
        <w:tab/>
      </w:r>
      <w:r w:rsidRPr="008C11C9">
        <w:rPr>
          <w:rFonts w:asciiTheme="minorHAnsi" w:hAnsiTheme="minorHAnsi"/>
          <w:noProof/>
          <w:sz w:val="22"/>
        </w:rPr>
        <w:t>Stationary Diesels in the Northeast region by number and capacity</w:t>
      </w:r>
      <w:r w:rsidRPr="008C11C9">
        <w:rPr>
          <w:noProof/>
          <w:sz w:val="22"/>
        </w:rPr>
        <w:tab/>
      </w:r>
      <w:r w:rsidRPr="008C11C9">
        <w:rPr>
          <w:noProof/>
          <w:sz w:val="22"/>
        </w:rPr>
        <w:fldChar w:fldCharType="begin"/>
      </w:r>
      <w:r w:rsidRPr="008C11C9">
        <w:rPr>
          <w:noProof/>
          <w:sz w:val="22"/>
        </w:rPr>
        <w:instrText xml:space="preserve"> PAGEREF _Toc461106805 \h </w:instrText>
      </w:r>
      <w:r w:rsidRPr="008C11C9">
        <w:rPr>
          <w:noProof/>
          <w:sz w:val="22"/>
        </w:rPr>
      </w:r>
      <w:r w:rsidRPr="008C11C9">
        <w:rPr>
          <w:noProof/>
          <w:sz w:val="22"/>
        </w:rPr>
        <w:fldChar w:fldCharType="separate"/>
      </w:r>
      <w:r w:rsidRPr="008C11C9">
        <w:rPr>
          <w:noProof/>
          <w:sz w:val="22"/>
        </w:rPr>
        <w:t>35</w:t>
      </w:r>
      <w:r w:rsidRPr="008C11C9">
        <w:rPr>
          <w:noProof/>
          <w:sz w:val="22"/>
        </w:rPr>
        <w:fldChar w:fldCharType="end"/>
      </w:r>
    </w:p>
    <w:p w:rsidR="008C11C9" w:rsidRPr="008C11C9" w:rsidRDefault="008C11C9" w:rsidP="008C11C9">
      <w:pPr>
        <w:pStyle w:val="TableofFigures"/>
        <w:tabs>
          <w:tab w:val="left" w:pos="1320"/>
          <w:tab w:val="right" w:leader="dot" w:pos="9350"/>
        </w:tabs>
        <w:spacing w:after="100" w:line="240" w:lineRule="auto"/>
        <w:rPr>
          <w:rFonts w:asciiTheme="minorHAnsi" w:eastAsiaTheme="minorEastAsia" w:hAnsiTheme="minorHAnsi"/>
          <w:noProof/>
          <w:sz w:val="22"/>
        </w:rPr>
      </w:pPr>
      <w:r w:rsidRPr="008C11C9">
        <w:rPr>
          <w:rFonts w:asciiTheme="minorHAnsi" w:hAnsiTheme="minorHAnsi"/>
          <w:noProof/>
          <w:sz w:val="22"/>
        </w:rPr>
        <w:t>Table 3-5</w:t>
      </w:r>
      <w:r w:rsidRPr="008C11C9">
        <w:rPr>
          <w:rFonts w:asciiTheme="minorHAnsi" w:eastAsiaTheme="minorEastAsia" w:hAnsiTheme="minorHAnsi"/>
          <w:noProof/>
          <w:sz w:val="22"/>
        </w:rPr>
        <w:tab/>
      </w:r>
      <w:r w:rsidRPr="008C11C9">
        <w:rPr>
          <w:rFonts w:asciiTheme="minorHAnsi" w:hAnsiTheme="minorHAnsi"/>
          <w:noProof/>
          <w:sz w:val="22"/>
        </w:rPr>
        <w:t>Specific NOx emission limits contained in the model rule</w:t>
      </w:r>
      <w:r w:rsidRPr="008C11C9">
        <w:rPr>
          <w:noProof/>
          <w:sz w:val="22"/>
        </w:rPr>
        <w:tab/>
      </w:r>
      <w:r w:rsidRPr="008C11C9">
        <w:rPr>
          <w:noProof/>
          <w:sz w:val="22"/>
        </w:rPr>
        <w:fldChar w:fldCharType="begin"/>
      </w:r>
      <w:r w:rsidRPr="008C11C9">
        <w:rPr>
          <w:noProof/>
          <w:sz w:val="22"/>
        </w:rPr>
        <w:instrText xml:space="preserve"> PAGEREF _Toc461106806 \h </w:instrText>
      </w:r>
      <w:r w:rsidRPr="008C11C9">
        <w:rPr>
          <w:noProof/>
          <w:sz w:val="22"/>
        </w:rPr>
      </w:r>
      <w:r w:rsidRPr="008C11C9">
        <w:rPr>
          <w:noProof/>
          <w:sz w:val="22"/>
        </w:rPr>
        <w:fldChar w:fldCharType="separate"/>
      </w:r>
      <w:r w:rsidRPr="008C11C9">
        <w:rPr>
          <w:noProof/>
          <w:sz w:val="22"/>
        </w:rPr>
        <w:t>37</w:t>
      </w:r>
      <w:r w:rsidRPr="008C11C9">
        <w:rPr>
          <w:noProof/>
          <w:sz w:val="22"/>
        </w:rPr>
        <w:fldChar w:fldCharType="end"/>
      </w:r>
    </w:p>
    <w:p w:rsidR="008C11C9" w:rsidRPr="008C11C9" w:rsidRDefault="008C11C9" w:rsidP="008C11C9">
      <w:pPr>
        <w:pStyle w:val="TableofFigures"/>
        <w:tabs>
          <w:tab w:val="left" w:pos="1320"/>
          <w:tab w:val="right" w:leader="dot" w:pos="9350"/>
        </w:tabs>
        <w:spacing w:after="100" w:line="240" w:lineRule="auto"/>
        <w:rPr>
          <w:rFonts w:asciiTheme="minorHAnsi" w:eastAsiaTheme="minorEastAsia" w:hAnsiTheme="minorHAnsi"/>
          <w:noProof/>
          <w:sz w:val="22"/>
        </w:rPr>
      </w:pPr>
      <w:r w:rsidRPr="008C11C9">
        <w:rPr>
          <w:rFonts w:asciiTheme="minorHAnsi" w:hAnsiTheme="minorHAnsi"/>
          <w:noProof/>
          <w:sz w:val="22"/>
        </w:rPr>
        <w:t>Table 3-6</w:t>
      </w:r>
      <w:r w:rsidRPr="008C11C9">
        <w:rPr>
          <w:rFonts w:asciiTheme="minorHAnsi" w:eastAsiaTheme="minorEastAsia" w:hAnsiTheme="minorHAnsi"/>
          <w:noProof/>
          <w:sz w:val="22"/>
        </w:rPr>
        <w:tab/>
      </w:r>
      <w:r w:rsidRPr="008C11C9">
        <w:rPr>
          <w:rFonts w:asciiTheme="minorHAnsi" w:hAnsiTheme="minorHAnsi"/>
          <w:noProof/>
          <w:sz w:val="22"/>
        </w:rPr>
        <w:t>Estimated NOx Reductions from New Small Boiler Rule</w:t>
      </w:r>
      <w:r w:rsidRPr="008C11C9">
        <w:rPr>
          <w:noProof/>
          <w:sz w:val="22"/>
        </w:rPr>
        <w:tab/>
      </w:r>
      <w:r w:rsidRPr="008C11C9">
        <w:rPr>
          <w:noProof/>
          <w:sz w:val="22"/>
        </w:rPr>
        <w:fldChar w:fldCharType="begin"/>
      </w:r>
      <w:r w:rsidRPr="008C11C9">
        <w:rPr>
          <w:noProof/>
          <w:sz w:val="22"/>
        </w:rPr>
        <w:instrText xml:space="preserve"> PAGEREF _Toc461106807 \h </w:instrText>
      </w:r>
      <w:r w:rsidRPr="008C11C9">
        <w:rPr>
          <w:noProof/>
          <w:sz w:val="22"/>
        </w:rPr>
      </w:r>
      <w:r w:rsidRPr="008C11C9">
        <w:rPr>
          <w:noProof/>
          <w:sz w:val="22"/>
        </w:rPr>
        <w:fldChar w:fldCharType="separate"/>
      </w:r>
      <w:r w:rsidRPr="008C11C9">
        <w:rPr>
          <w:noProof/>
          <w:sz w:val="22"/>
        </w:rPr>
        <w:t>38</w:t>
      </w:r>
      <w:r w:rsidRPr="008C11C9">
        <w:rPr>
          <w:noProof/>
          <w:sz w:val="22"/>
        </w:rPr>
        <w:fldChar w:fldCharType="end"/>
      </w:r>
    </w:p>
    <w:p w:rsidR="008C11C9" w:rsidRPr="008C11C9" w:rsidRDefault="008C11C9" w:rsidP="008C11C9">
      <w:pPr>
        <w:pStyle w:val="TableofFigures"/>
        <w:tabs>
          <w:tab w:val="left" w:pos="1320"/>
          <w:tab w:val="right" w:leader="dot" w:pos="9350"/>
        </w:tabs>
        <w:spacing w:after="100" w:line="240" w:lineRule="auto"/>
        <w:rPr>
          <w:rFonts w:asciiTheme="minorHAnsi" w:eastAsiaTheme="minorEastAsia" w:hAnsiTheme="minorHAnsi"/>
          <w:noProof/>
          <w:sz w:val="22"/>
        </w:rPr>
      </w:pPr>
      <w:r w:rsidRPr="008C11C9">
        <w:rPr>
          <w:rFonts w:asciiTheme="minorHAnsi" w:hAnsiTheme="minorHAnsi"/>
          <w:noProof/>
          <w:sz w:val="22"/>
        </w:rPr>
        <w:t>Table 3-7</w:t>
      </w:r>
      <w:r w:rsidRPr="008C11C9">
        <w:rPr>
          <w:rFonts w:asciiTheme="minorHAnsi" w:eastAsiaTheme="minorEastAsia" w:hAnsiTheme="minorHAnsi"/>
          <w:noProof/>
          <w:sz w:val="22"/>
        </w:rPr>
        <w:tab/>
      </w:r>
      <w:r w:rsidRPr="008C11C9">
        <w:rPr>
          <w:rFonts w:asciiTheme="minorHAnsi" w:hAnsiTheme="minorHAnsi"/>
          <w:noProof/>
          <w:sz w:val="22"/>
        </w:rPr>
        <w:t>Federal Maximum Allowable Emission Limits of NOx for New Turbines</w:t>
      </w:r>
      <w:r w:rsidRPr="008C11C9">
        <w:rPr>
          <w:noProof/>
          <w:sz w:val="22"/>
        </w:rPr>
        <w:tab/>
      </w:r>
      <w:r w:rsidRPr="008C11C9">
        <w:rPr>
          <w:noProof/>
          <w:sz w:val="22"/>
        </w:rPr>
        <w:fldChar w:fldCharType="begin"/>
      </w:r>
      <w:r w:rsidRPr="008C11C9">
        <w:rPr>
          <w:noProof/>
          <w:sz w:val="22"/>
        </w:rPr>
        <w:instrText xml:space="preserve"> PAGEREF _Toc461106808 \h </w:instrText>
      </w:r>
      <w:r w:rsidRPr="008C11C9">
        <w:rPr>
          <w:noProof/>
          <w:sz w:val="22"/>
        </w:rPr>
      </w:r>
      <w:r w:rsidRPr="008C11C9">
        <w:rPr>
          <w:noProof/>
          <w:sz w:val="22"/>
        </w:rPr>
        <w:fldChar w:fldCharType="separate"/>
      </w:r>
      <w:r w:rsidRPr="008C11C9">
        <w:rPr>
          <w:noProof/>
          <w:sz w:val="22"/>
        </w:rPr>
        <w:t>40</w:t>
      </w:r>
      <w:r w:rsidRPr="008C11C9">
        <w:rPr>
          <w:noProof/>
          <w:sz w:val="22"/>
        </w:rPr>
        <w:fldChar w:fldCharType="end"/>
      </w:r>
    </w:p>
    <w:p w:rsidR="008C11C9" w:rsidRPr="008C11C9" w:rsidRDefault="008C11C9" w:rsidP="008C11C9">
      <w:pPr>
        <w:pStyle w:val="TableofFigures"/>
        <w:tabs>
          <w:tab w:val="left" w:pos="1320"/>
          <w:tab w:val="right" w:leader="dot" w:pos="9350"/>
        </w:tabs>
        <w:spacing w:after="100" w:line="240" w:lineRule="auto"/>
        <w:rPr>
          <w:rFonts w:asciiTheme="minorHAnsi" w:eastAsiaTheme="minorEastAsia" w:hAnsiTheme="minorHAnsi"/>
          <w:noProof/>
          <w:sz w:val="22"/>
        </w:rPr>
      </w:pPr>
      <w:r w:rsidRPr="008C11C9">
        <w:rPr>
          <w:rFonts w:asciiTheme="minorHAnsi" w:hAnsiTheme="minorHAnsi"/>
          <w:noProof/>
          <w:sz w:val="22"/>
        </w:rPr>
        <w:t>Table 3-8</w:t>
      </w:r>
      <w:r w:rsidRPr="008C11C9">
        <w:rPr>
          <w:rFonts w:asciiTheme="minorHAnsi" w:eastAsiaTheme="minorEastAsia" w:hAnsiTheme="minorHAnsi"/>
          <w:noProof/>
          <w:sz w:val="22"/>
        </w:rPr>
        <w:tab/>
      </w:r>
      <w:r w:rsidRPr="008C11C9">
        <w:rPr>
          <w:rFonts w:asciiTheme="minorHAnsi" w:hAnsiTheme="minorHAnsi"/>
          <w:noProof/>
          <w:sz w:val="22"/>
        </w:rPr>
        <w:t>Performance Standards for HEDDCT</w:t>
      </w:r>
      <w:r w:rsidRPr="008C11C9">
        <w:rPr>
          <w:noProof/>
          <w:sz w:val="22"/>
        </w:rPr>
        <w:tab/>
      </w:r>
      <w:r w:rsidRPr="008C11C9">
        <w:rPr>
          <w:noProof/>
          <w:sz w:val="22"/>
        </w:rPr>
        <w:fldChar w:fldCharType="begin"/>
      </w:r>
      <w:r w:rsidRPr="008C11C9">
        <w:rPr>
          <w:noProof/>
          <w:sz w:val="22"/>
        </w:rPr>
        <w:instrText xml:space="preserve"> PAGEREF _Toc461106809 \h </w:instrText>
      </w:r>
      <w:r w:rsidRPr="008C11C9">
        <w:rPr>
          <w:noProof/>
          <w:sz w:val="22"/>
        </w:rPr>
      </w:r>
      <w:r w:rsidRPr="008C11C9">
        <w:rPr>
          <w:noProof/>
          <w:sz w:val="22"/>
        </w:rPr>
        <w:fldChar w:fldCharType="separate"/>
      </w:r>
      <w:r w:rsidRPr="008C11C9">
        <w:rPr>
          <w:noProof/>
          <w:sz w:val="22"/>
        </w:rPr>
        <w:t>41</w:t>
      </w:r>
      <w:r w:rsidRPr="008C11C9">
        <w:rPr>
          <w:noProof/>
          <w:sz w:val="22"/>
        </w:rPr>
        <w:fldChar w:fldCharType="end"/>
      </w:r>
    </w:p>
    <w:p w:rsidR="008C11C9" w:rsidRPr="008C11C9" w:rsidRDefault="008C11C9" w:rsidP="008C11C9">
      <w:pPr>
        <w:pStyle w:val="TableofFigures"/>
        <w:tabs>
          <w:tab w:val="left" w:pos="1320"/>
          <w:tab w:val="right" w:leader="dot" w:pos="9350"/>
        </w:tabs>
        <w:spacing w:after="100" w:line="240" w:lineRule="auto"/>
        <w:rPr>
          <w:rFonts w:asciiTheme="minorHAnsi" w:eastAsiaTheme="minorEastAsia" w:hAnsiTheme="minorHAnsi"/>
          <w:noProof/>
          <w:sz w:val="22"/>
        </w:rPr>
      </w:pPr>
      <w:r w:rsidRPr="008C11C9">
        <w:rPr>
          <w:rFonts w:asciiTheme="minorHAnsi" w:hAnsiTheme="minorHAnsi"/>
          <w:noProof/>
          <w:sz w:val="22"/>
        </w:rPr>
        <w:lastRenderedPageBreak/>
        <w:t>Table 3-9</w:t>
      </w:r>
      <w:r w:rsidRPr="008C11C9">
        <w:rPr>
          <w:rFonts w:asciiTheme="minorHAnsi" w:eastAsiaTheme="minorEastAsia" w:hAnsiTheme="minorHAnsi"/>
          <w:noProof/>
          <w:sz w:val="22"/>
        </w:rPr>
        <w:tab/>
      </w:r>
      <w:r w:rsidRPr="008C11C9">
        <w:rPr>
          <w:rFonts w:asciiTheme="minorHAnsi" w:hAnsiTheme="minorHAnsi"/>
          <w:noProof/>
          <w:sz w:val="22"/>
        </w:rPr>
        <w:t>Reasonably Available NO</w:t>
      </w:r>
      <w:r w:rsidRPr="008C11C9">
        <w:rPr>
          <w:rFonts w:asciiTheme="minorHAnsi" w:hAnsiTheme="minorHAnsi"/>
          <w:noProof/>
          <w:sz w:val="22"/>
          <w:vertAlign w:val="subscript"/>
        </w:rPr>
        <w:t>x</w:t>
      </w:r>
      <w:r w:rsidRPr="008C11C9">
        <w:rPr>
          <w:rFonts w:asciiTheme="minorHAnsi" w:hAnsiTheme="minorHAnsi"/>
          <w:noProof/>
          <w:sz w:val="22"/>
        </w:rPr>
        <w:t xml:space="preserve"> Emission Control Technologies for HEDDCT</w:t>
      </w:r>
      <w:r w:rsidRPr="008C11C9">
        <w:rPr>
          <w:noProof/>
          <w:sz w:val="22"/>
        </w:rPr>
        <w:tab/>
      </w:r>
      <w:r w:rsidRPr="008C11C9">
        <w:rPr>
          <w:noProof/>
          <w:sz w:val="22"/>
        </w:rPr>
        <w:fldChar w:fldCharType="begin"/>
      </w:r>
      <w:r w:rsidRPr="008C11C9">
        <w:rPr>
          <w:noProof/>
          <w:sz w:val="22"/>
        </w:rPr>
        <w:instrText xml:space="preserve"> PAGEREF _Toc461106810 \h </w:instrText>
      </w:r>
      <w:r w:rsidRPr="008C11C9">
        <w:rPr>
          <w:noProof/>
          <w:sz w:val="22"/>
        </w:rPr>
      </w:r>
      <w:r w:rsidRPr="008C11C9">
        <w:rPr>
          <w:noProof/>
          <w:sz w:val="22"/>
        </w:rPr>
        <w:fldChar w:fldCharType="separate"/>
      </w:r>
      <w:r w:rsidRPr="008C11C9">
        <w:rPr>
          <w:noProof/>
          <w:sz w:val="22"/>
        </w:rPr>
        <w:t>42</w:t>
      </w:r>
      <w:r w:rsidRPr="008C11C9">
        <w:rPr>
          <w:noProof/>
          <w:sz w:val="22"/>
        </w:rPr>
        <w:fldChar w:fldCharType="end"/>
      </w:r>
    </w:p>
    <w:p w:rsidR="008C11C9" w:rsidRPr="008C11C9" w:rsidRDefault="008C11C9" w:rsidP="008C11C9">
      <w:pPr>
        <w:pStyle w:val="TableofFigures"/>
        <w:tabs>
          <w:tab w:val="left" w:pos="1320"/>
          <w:tab w:val="right" w:leader="dot" w:pos="9350"/>
        </w:tabs>
        <w:spacing w:after="100" w:line="240" w:lineRule="auto"/>
        <w:rPr>
          <w:rFonts w:asciiTheme="minorHAnsi" w:eastAsiaTheme="minorEastAsia" w:hAnsiTheme="minorHAnsi"/>
          <w:noProof/>
          <w:sz w:val="22"/>
        </w:rPr>
      </w:pPr>
      <w:r w:rsidRPr="008C11C9">
        <w:rPr>
          <w:rFonts w:asciiTheme="minorHAnsi" w:hAnsiTheme="minorHAnsi"/>
          <w:noProof/>
          <w:sz w:val="22"/>
        </w:rPr>
        <w:t>Table 3-10</w:t>
      </w:r>
      <w:r w:rsidRPr="008C11C9">
        <w:rPr>
          <w:rFonts w:asciiTheme="minorHAnsi" w:eastAsiaTheme="minorEastAsia" w:hAnsiTheme="minorHAnsi"/>
          <w:noProof/>
          <w:sz w:val="22"/>
        </w:rPr>
        <w:tab/>
      </w:r>
      <w:r w:rsidRPr="008C11C9">
        <w:rPr>
          <w:rFonts w:asciiTheme="minorHAnsi" w:hAnsiTheme="minorHAnsi"/>
          <w:noProof/>
          <w:sz w:val="22"/>
        </w:rPr>
        <w:t>Federal Maximum Allowable Emission Limits of NOx for Boilers</w:t>
      </w:r>
      <w:r w:rsidRPr="008C11C9">
        <w:rPr>
          <w:noProof/>
          <w:sz w:val="22"/>
        </w:rPr>
        <w:tab/>
      </w:r>
      <w:r w:rsidRPr="008C11C9">
        <w:rPr>
          <w:noProof/>
          <w:sz w:val="22"/>
        </w:rPr>
        <w:fldChar w:fldCharType="begin"/>
      </w:r>
      <w:r w:rsidRPr="008C11C9">
        <w:rPr>
          <w:noProof/>
          <w:sz w:val="22"/>
        </w:rPr>
        <w:instrText xml:space="preserve"> PAGEREF _Toc461106811 \h </w:instrText>
      </w:r>
      <w:r w:rsidRPr="008C11C9">
        <w:rPr>
          <w:noProof/>
          <w:sz w:val="22"/>
        </w:rPr>
      </w:r>
      <w:r w:rsidRPr="008C11C9">
        <w:rPr>
          <w:noProof/>
          <w:sz w:val="22"/>
        </w:rPr>
        <w:fldChar w:fldCharType="separate"/>
      </w:r>
      <w:r w:rsidRPr="008C11C9">
        <w:rPr>
          <w:noProof/>
          <w:sz w:val="22"/>
        </w:rPr>
        <w:t>44</w:t>
      </w:r>
      <w:r w:rsidRPr="008C11C9">
        <w:rPr>
          <w:noProof/>
          <w:sz w:val="22"/>
        </w:rPr>
        <w:fldChar w:fldCharType="end"/>
      </w:r>
    </w:p>
    <w:p w:rsidR="008C11C9" w:rsidRPr="008C11C9" w:rsidRDefault="008C11C9" w:rsidP="008C11C9">
      <w:pPr>
        <w:pStyle w:val="TableofFigures"/>
        <w:tabs>
          <w:tab w:val="left" w:pos="1320"/>
          <w:tab w:val="right" w:leader="dot" w:pos="9350"/>
        </w:tabs>
        <w:spacing w:after="100" w:line="240" w:lineRule="auto"/>
        <w:rPr>
          <w:rFonts w:asciiTheme="minorHAnsi" w:eastAsiaTheme="minorEastAsia" w:hAnsiTheme="minorHAnsi"/>
          <w:noProof/>
          <w:sz w:val="22"/>
        </w:rPr>
      </w:pPr>
      <w:r w:rsidRPr="008C11C9">
        <w:rPr>
          <w:rFonts w:asciiTheme="minorHAnsi" w:hAnsiTheme="minorHAnsi"/>
          <w:noProof/>
          <w:sz w:val="22"/>
        </w:rPr>
        <w:t>Table 3-11</w:t>
      </w:r>
      <w:r w:rsidRPr="008C11C9">
        <w:rPr>
          <w:rFonts w:asciiTheme="minorHAnsi" w:eastAsiaTheme="minorEastAsia" w:hAnsiTheme="minorHAnsi"/>
          <w:noProof/>
          <w:sz w:val="22"/>
        </w:rPr>
        <w:tab/>
      </w:r>
      <w:r w:rsidRPr="008C11C9">
        <w:rPr>
          <w:rFonts w:asciiTheme="minorHAnsi" w:hAnsiTheme="minorHAnsi"/>
          <w:noProof/>
          <w:sz w:val="22"/>
        </w:rPr>
        <w:t>Proposal for NO</w:t>
      </w:r>
      <w:r w:rsidRPr="008C11C9">
        <w:rPr>
          <w:rFonts w:asciiTheme="minorHAnsi" w:hAnsiTheme="minorHAnsi"/>
          <w:noProof/>
          <w:sz w:val="22"/>
          <w:vertAlign w:val="subscript"/>
        </w:rPr>
        <w:t>x</w:t>
      </w:r>
      <w:r w:rsidRPr="008C11C9">
        <w:rPr>
          <w:rFonts w:asciiTheme="minorHAnsi" w:hAnsiTheme="minorHAnsi"/>
          <w:noProof/>
          <w:sz w:val="22"/>
        </w:rPr>
        <w:t xml:space="preserve"> Emission Limits for Boilers serving EGUs</w:t>
      </w:r>
      <w:r w:rsidRPr="008C11C9">
        <w:rPr>
          <w:noProof/>
          <w:sz w:val="22"/>
        </w:rPr>
        <w:tab/>
      </w:r>
      <w:r w:rsidRPr="008C11C9">
        <w:rPr>
          <w:noProof/>
          <w:sz w:val="22"/>
        </w:rPr>
        <w:fldChar w:fldCharType="begin"/>
      </w:r>
      <w:r w:rsidRPr="008C11C9">
        <w:rPr>
          <w:noProof/>
          <w:sz w:val="22"/>
        </w:rPr>
        <w:instrText xml:space="preserve"> PAGEREF _Toc461106812 \h </w:instrText>
      </w:r>
      <w:r w:rsidRPr="008C11C9">
        <w:rPr>
          <w:noProof/>
          <w:sz w:val="22"/>
        </w:rPr>
      </w:r>
      <w:r w:rsidRPr="008C11C9">
        <w:rPr>
          <w:noProof/>
          <w:sz w:val="22"/>
        </w:rPr>
        <w:fldChar w:fldCharType="separate"/>
      </w:r>
      <w:r w:rsidRPr="008C11C9">
        <w:rPr>
          <w:noProof/>
          <w:sz w:val="22"/>
        </w:rPr>
        <w:t>45</w:t>
      </w:r>
      <w:r w:rsidRPr="008C11C9">
        <w:rPr>
          <w:noProof/>
          <w:sz w:val="22"/>
        </w:rPr>
        <w:fldChar w:fldCharType="end"/>
      </w:r>
    </w:p>
    <w:p w:rsidR="008C11C9" w:rsidRPr="008C11C9" w:rsidRDefault="008C11C9" w:rsidP="008C11C9">
      <w:pPr>
        <w:pStyle w:val="TableofFigures"/>
        <w:tabs>
          <w:tab w:val="left" w:pos="1320"/>
          <w:tab w:val="right" w:leader="dot" w:pos="9350"/>
        </w:tabs>
        <w:spacing w:after="100" w:line="240" w:lineRule="auto"/>
        <w:rPr>
          <w:rFonts w:asciiTheme="minorHAnsi" w:eastAsiaTheme="minorEastAsia" w:hAnsiTheme="minorHAnsi"/>
          <w:noProof/>
          <w:sz w:val="22"/>
        </w:rPr>
      </w:pPr>
      <w:r w:rsidRPr="008C11C9">
        <w:rPr>
          <w:rFonts w:asciiTheme="minorHAnsi" w:hAnsiTheme="minorHAnsi"/>
          <w:noProof/>
          <w:sz w:val="22"/>
        </w:rPr>
        <w:t>Table 3-12</w:t>
      </w:r>
      <w:r w:rsidRPr="008C11C9">
        <w:rPr>
          <w:rFonts w:asciiTheme="minorHAnsi" w:eastAsiaTheme="minorEastAsia" w:hAnsiTheme="minorHAnsi"/>
          <w:noProof/>
          <w:sz w:val="22"/>
        </w:rPr>
        <w:tab/>
      </w:r>
      <w:r w:rsidRPr="008C11C9">
        <w:rPr>
          <w:rFonts w:asciiTheme="minorHAnsi" w:hAnsiTheme="minorHAnsi"/>
          <w:noProof/>
          <w:sz w:val="22"/>
        </w:rPr>
        <w:t>Estimates of NO</w:t>
      </w:r>
      <w:r w:rsidRPr="008C11C9">
        <w:rPr>
          <w:rFonts w:asciiTheme="minorHAnsi" w:hAnsiTheme="minorHAnsi"/>
          <w:noProof/>
          <w:sz w:val="22"/>
          <w:vertAlign w:val="subscript"/>
        </w:rPr>
        <w:t>x</w:t>
      </w:r>
      <w:r w:rsidRPr="008C11C9">
        <w:rPr>
          <w:rFonts w:asciiTheme="minorHAnsi" w:hAnsiTheme="minorHAnsi"/>
          <w:noProof/>
          <w:sz w:val="22"/>
        </w:rPr>
        <w:t xml:space="preserve"> Emissions Reductions from Oil/Gas-fired EGUs</w:t>
      </w:r>
      <w:r w:rsidRPr="008C11C9">
        <w:rPr>
          <w:noProof/>
          <w:sz w:val="22"/>
        </w:rPr>
        <w:tab/>
      </w:r>
      <w:r w:rsidRPr="008C11C9">
        <w:rPr>
          <w:noProof/>
          <w:sz w:val="22"/>
        </w:rPr>
        <w:fldChar w:fldCharType="begin"/>
      </w:r>
      <w:r w:rsidRPr="008C11C9">
        <w:rPr>
          <w:noProof/>
          <w:sz w:val="22"/>
        </w:rPr>
        <w:instrText xml:space="preserve"> PAGEREF _Toc461106813 \h </w:instrText>
      </w:r>
      <w:r w:rsidRPr="008C11C9">
        <w:rPr>
          <w:noProof/>
          <w:sz w:val="22"/>
        </w:rPr>
      </w:r>
      <w:r w:rsidRPr="008C11C9">
        <w:rPr>
          <w:noProof/>
          <w:sz w:val="22"/>
        </w:rPr>
        <w:fldChar w:fldCharType="separate"/>
      </w:r>
      <w:r w:rsidRPr="008C11C9">
        <w:rPr>
          <w:noProof/>
          <w:sz w:val="22"/>
        </w:rPr>
        <w:t>46</w:t>
      </w:r>
      <w:r w:rsidRPr="008C11C9">
        <w:rPr>
          <w:noProof/>
          <w:sz w:val="22"/>
        </w:rPr>
        <w:fldChar w:fldCharType="end"/>
      </w:r>
    </w:p>
    <w:p w:rsidR="008C11C9" w:rsidRPr="008C11C9" w:rsidRDefault="008C11C9" w:rsidP="008C11C9">
      <w:pPr>
        <w:pStyle w:val="TableofFigures"/>
        <w:tabs>
          <w:tab w:val="right" w:leader="dot" w:pos="9350"/>
        </w:tabs>
        <w:spacing w:after="100" w:line="240" w:lineRule="auto"/>
        <w:rPr>
          <w:rFonts w:asciiTheme="minorHAnsi" w:eastAsiaTheme="minorEastAsia" w:hAnsiTheme="minorHAnsi"/>
          <w:noProof/>
          <w:sz w:val="22"/>
        </w:rPr>
      </w:pPr>
      <w:r w:rsidRPr="008C11C9">
        <w:rPr>
          <w:rFonts w:asciiTheme="minorHAnsi" w:hAnsiTheme="minorHAnsi"/>
          <w:noProof/>
          <w:sz w:val="22"/>
        </w:rPr>
        <w:t>Table 3-13  Available NOx Emission Control Devices, Emission Reductions and Estimated Costs</w:t>
      </w:r>
      <w:r w:rsidRPr="008C11C9">
        <w:rPr>
          <w:noProof/>
          <w:sz w:val="22"/>
        </w:rPr>
        <w:tab/>
      </w:r>
      <w:r w:rsidRPr="008C11C9">
        <w:rPr>
          <w:noProof/>
          <w:sz w:val="22"/>
        </w:rPr>
        <w:fldChar w:fldCharType="begin"/>
      </w:r>
      <w:r w:rsidRPr="008C11C9">
        <w:rPr>
          <w:noProof/>
          <w:sz w:val="22"/>
        </w:rPr>
        <w:instrText xml:space="preserve"> PAGEREF _Toc461106814 \h </w:instrText>
      </w:r>
      <w:r w:rsidRPr="008C11C9">
        <w:rPr>
          <w:noProof/>
          <w:sz w:val="22"/>
        </w:rPr>
      </w:r>
      <w:r w:rsidRPr="008C11C9">
        <w:rPr>
          <w:noProof/>
          <w:sz w:val="22"/>
        </w:rPr>
        <w:fldChar w:fldCharType="separate"/>
      </w:r>
      <w:r w:rsidRPr="008C11C9">
        <w:rPr>
          <w:noProof/>
          <w:sz w:val="22"/>
        </w:rPr>
        <w:t>47</w:t>
      </w:r>
      <w:r w:rsidRPr="008C11C9">
        <w:rPr>
          <w:noProof/>
          <w:sz w:val="22"/>
        </w:rPr>
        <w:fldChar w:fldCharType="end"/>
      </w:r>
    </w:p>
    <w:p w:rsidR="008C11C9" w:rsidRPr="008C11C9" w:rsidRDefault="008C11C9" w:rsidP="008C11C9">
      <w:pPr>
        <w:pStyle w:val="TableofFigures"/>
        <w:tabs>
          <w:tab w:val="right" w:leader="dot" w:pos="9350"/>
        </w:tabs>
        <w:spacing w:after="100" w:line="240" w:lineRule="auto"/>
        <w:rPr>
          <w:rFonts w:asciiTheme="minorHAnsi" w:eastAsiaTheme="minorEastAsia" w:hAnsiTheme="minorHAnsi"/>
          <w:noProof/>
          <w:sz w:val="22"/>
        </w:rPr>
      </w:pPr>
      <w:r w:rsidRPr="008C11C9">
        <w:rPr>
          <w:rFonts w:asciiTheme="minorHAnsi" w:hAnsiTheme="minorHAnsi"/>
          <w:noProof/>
          <w:sz w:val="22"/>
        </w:rPr>
        <w:t>(Derived by using the OTC/LADCO 2008 Version of the MACTEC spreadsheets)</w:t>
      </w:r>
      <w:r w:rsidRPr="008C11C9">
        <w:rPr>
          <w:noProof/>
          <w:sz w:val="22"/>
        </w:rPr>
        <w:tab/>
      </w:r>
      <w:r w:rsidRPr="008C11C9">
        <w:rPr>
          <w:noProof/>
          <w:sz w:val="22"/>
        </w:rPr>
        <w:fldChar w:fldCharType="begin"/>
      </w:r>
      <w:r w:rsidRPr="008C11C9">
        <w:rPr>
          <w:noProof/>
          <w:sz w:val="22"/>
        </w:rPr>
        <w:instrText xml:space="preserve"> PAGEREF _Toc461106815 \h </w:instrText>
      </w:r>
      <w:r w:rsidRPr="008C11C9">
        <w:rPr>
          <w:noProof/>
          <w:sz w:val="22"/>
        </w:rPr>
      </w:r>
      <w:r w:rsidRPr="008C11C9">
        <w:rPr>
          <w:noProof/>
          <w:sz w:val="22"/>
        </w:rPr>
        <w:fldChar w:fldCharType="separate"/>
      </w:r>
      <w:r w:rsidRPr="008C11C9">
        <w:rPr>
          <w:noProof/>
          <w:sz w:val="22"/>
        </w:rPr>
        <w:t>47</w:t>
      </w:r>
      <w:r w:rsidRPr="008C11C9">
        <w:rPr>
          <w:noProof/>
          <w:sz w:val="22"/>
        </w:rPr>
        <w:fldChar w:fldCharType="end"/>
      </w:r>
    </w:p>
    <w:p w:rsidR="008C11C9" w:rsidRPr="008C11C9" w:rsidRDefault="008C11C9" w:rsidP="008C11C9">
      <w:pPr>
        <w:pStyle w:val="TableofFigures"/>
        <w:tabs>
          <w:tab w:val="left" w:pos="1320"/>
          <w:tab w:val="right" w:leader="dot" w:pos="9350"/>
        </w:tabs>
        <w:spacing w:after="100" w:line="240" w:lineRule="auto"/>
        <w:rPr>
          <w:rFonts w:asciiTheme="minorHAnsi" w:eastAsiaTheme="minorEastAsia" w:hAnsiTheme="minorHAnsi"/>
          <w:noProof/>
          <w:sz w:val="22"/>
        </w:rPr>
      </w:pPr>
      <w:r w:rsidRPr="008C11C9">
        <w:rPr>
          <w:rFonts w:asciiTheme="minorHAnsi" w:hAnsiTheme="minorHAnsi"/>
          <w:noProof/>
          <w:sz w:val="22"/>
        </w:rPr>
        <w:t>Figure 3-1</w:t>
      </w:r>
      <w:r w:rsidRPr="008C11C9">
        <w:rPr>
          <w:rFonts w:asciiTheme="minorHAnsi" w:eastAsiaTheme="minorEastAsia" w:hAnsiTheme="minorHAnsi"/>
          <w:noProof/>
          <w:sz w:val="22"/>
        </w:rPr>
        <w:tab/>
      </w:r>
      <w:r w:rsidRPr="008C11C9">
        <w:rPr>
          <w:rFonts w:asciiTheme="minorHAnsi" w:hAnsiTheme="minorHAnsi"/>
          <w:noProof/>
          <w:sz w:val="22"/>
        </w:rPr>
        <w:t>Diesel NO</w:t>
      </w:r>
      <w:r w:rsidRPr="008C11C9">
        <w:rPr>
          <w:rFonts w:asciiTheme="minorHAnsi" w:hAnsiTheme="minorHAnsi"/>
          <w:noProof/>
          <w:sz w:val="22"/>
          <w:vertAlign w:val="subscript"/>
        </w:rPr>
        <w:t>X</w:t>
      </w:r>
      <w:r w:rsidRPr="008C11C9">
        <w:rPr>
          <w:rFonts w:asciiTheme="minorHAnsi" w:hAnsiTheme="minorHAnsi"/>
          <w:noProof/>
          <w:sz w:val="22"/>
        </w:rPr>
        <w:t xml:space="preserve"> Emissions Standards (g/bhp-hr)</w:t>
      </w:r>
      <w:r w:rsidRPr="008C11C9">
        <w:rPr>
          <w:noProof/>
          <w:sz w:val="22"/>
        </w:rPr>
        <w:tab/>
      </w:r>
      <w:r w:rsidRPr="008C11C9">
        <w:rPr>
          <w:noProof/>
          <w:sz w:val="22"/>
        </w:rPr>
        <w:fldChar w:fldCharType="begin"/>
      </w:r>
      <w:r w:rsidRPr="008C11C9">
        <w:rPr>
          <w:noProof/>
          <w:sz w:val="22"/>
        </w:rPr>
        <w:instrText xml:space="preserve"> PAGEREF _Toc461106816 \h </w:instrText>
      </w:r>
      <w:r w:rsidRPr="008C11C9">
        <w:rPr>
          <w:noProof/>
          <w:sz w:val="22"/>
        </w:rPr>
      </w:r>
      <w:r w:rsidRPr="008C11C9">
        <w:rPr>
          <w:noProof/>
          <w:sz w:val="22"/>
        </w:rPr>
        <w:fldChar w:fldCharType="separate"/>
      </w:r>
      <w:r w:rsidRPr="008C11C9">
        <w:rPr>
          <w:noProof/>
          <w:sz w:val="22"/>
        </w:rPr>
        <w:t>48</w:t>
      </w:r>
      <w:r w:rsidRPr="008C11C9">
        <w:rPr>
          <w:noProof/>
          <w:sz w:val="22"/>
        </w:rPr>
        <w:fldChar w:fldCharType="end"/>
      </w:r>
    </w:p>
    <w:p w:rsidR="008C11C9" w:rsidRPr="008C11C9" w:rsidRDefault="008C11C9" w:rsidP="008C11C9">
      <w:pPr>
        <w:pStyle w:val="TableofFigures"/>
        <w:tabs>
          <w:tab w:val="left" w:pos="1320"/>
          <w:tab w:val="right" w:leader="dot" w:pos="9350"/>
        </w:tabs>
        <w:spacing w:after="100" w:line="240" w:lineRule="auto"/>
        <w:rPr>
          <w:rFonts w:asciiTheme="minorHAnsi" w:eastAsiaTheme="minorEastAsia" w:hAnsiTheme="minorHAnsi"/>
          <w:noProof/>
          <w:sz w:val="22"/>
        </w:rPr>
      </w:pPr>
      <w:r w:rsidRPr="008C11C9">
        <w:rPr>
          <w:rFonts w:asciiTheme="minorHAnsi" w:hAnsiTheme="minorHAnsi"/>
          <w:noProof/>
          <w:sz w:val="22"/>
        </w:rPr>
        <w:t>Figure 3-2</w:t>
      </w:r>
      <w:r w:rsidRPr="008C11C9">
        <w:rPr>
          <w:rFonts w:asciiTheme="minorHAnsi" w:eastAsiaTheme="minorEastAsia" w:hAnsiTheme="minorHAnsi"/>
          <w:noProof/>
          <w:sz w:val="22"/>
        </w:rPr>
        <w:tab/>
      </w:r>
      <w:r w:rsidRPr="008C11C9">
        <w:rPr>
          <w:rFonts w:asciiTheme="minorHAnsi" w:hAnsiTheme="minorHAnsi"/>
          <w:noProof/>
          <w:sz w:val="22"/>
        </w:rPr>
        <w:t>Diesel PM Emissions Standards (g/bhp-hr)</w:t>
      </w:r>
      <w:r w:rsidRPr="008C11C9">
        <w:rPr>
          <w:noProof/>
          <w:sz w:val="22"/>
        </w:rPr>
        <w:tab/>
      </w:r>
      <w:r w:rsidRPr="008C11C9">
        <w:rPr>
          <w:noProof/>
          <w:sz w:val="22"/>
        </w:rPr>
        <w:fldChar w:fldCharType="begin"/>
      </w:r>
      <w:r w:rsidRPr="008C11C9">
        <w:rPr>
          <w:noProof/>
          <w:sz w:val="22"/>
        </w:rPr>
        <w:instrText xml:space="preserve"> PAGEREF _Toc461106817 \h </w:instrText>
      </w:r>
      <w:r w:rsidRPr="008C11C9">
        <w:rPr>
          <w:noProof/>
          <w:sz w:val="22"/>
        </w:rPr>
      </w:r>
      <w:r w:rsidRPr="008C11C9">
        <w:rPr>
          <w:noProof/>
          <w:sz w:val="22"/>
        </w:rPr>
        <w:fldChar w:fldCharType="separate"/>
      </w:r>
      <w:r w:rsidRPr="008C11C9">
        <w:rPr>
          <w:noProof/>
          <w:sz w:val="22"/>
        </w:rPr>
        <w:t>49</w:t>
      </w:r>
      <w:r w:rsidRPr="008C11C9">
        <w:rPr>
          <w:noProof/>
          <w:sz w:val="22"/>
        </w:rPr>
        <w:fldChar w:fldCharType="end"/>
      </w:r>
    </w:p>
    <w:p w:rsidR="008C11C9" w:rsidRPr="008C11C9" w:rsidRDefault="008C11C9" w:rsidP="008C11C9">
      <w:pPr>
        <w:pStyle w:val="TableofFigures"/>
        <w:tabs>
          <w:tab w:val="left" w:pos="1320"/>
          <w:tab w:val="right" w:leader="dot" w:pos="9350"/>
        </w:tabs>
        <w:spacing w:after="100" w:line="240" w:lineRule="auto"/>
        <w:rPr>
          <w:rFonts w:asciiTheme="minorHAnsi" w:eastAsiaTheme="minorEastAsia" w:hAnsiTheme="minorHAnsi"/>
          <w:noProof/>
          <w:sz w:val="22"/>
        </w:rPr>
      </w:pPr>
      <w:r w:rsidRPr="008C11C9">
        <w:rPr>
          <w:rFonts w:asciiTheme="minorHAnsi" w:hAnsiTheme="minorHAnsi"/>
          <w:noProof/>
          <w:sz w:val="22"/>
        </w:rPr>
        <w:t>Table 3-14</w:t>
      </w:r>
      <w:r w:rsidRPr="008C11C9">
        <w:rPr>
          <w:rFonts w:asciiTheme="minorHAnsi" w:eastAsiaTheme="minorEastAsia" w:hAnsiTheme="minorHAnsi"/>
          <w:noProof/>
          <w:sz w:val="22"/>
        </w:rPr>
        <w:tab/>
      </w:r>
      <w:r w:rsidRPr="008C11C9">
        <w:rPr>
          <w:rFonts w:asciiTheme="minorHAnsi" w:hAnsiTheme="minorHAnsi"/>
          <w:noProof/>
          <w:sz w:val="22"/>
        </w:rPr>
        <w:t>Application of existing nonroad idling rules in the OTR</w:t>
      </w:r>
      <w:r w:rsidRPr="008C11C9">
        <w:rPr>
          <w:noProof/>
          <w:sz w:val="22"/>
        </w:rPr>
        <w:tab/>
      </w:r>
      <w:r w:rsidRPr="008C11C9">
        <w:rPr>
          <w:noProof/>
          <w:sz w:val="22"/>
        </w:rPr>
        <w:fldChar w:fldCharType="begin"/>
      </w:r>
      <w:r w:rsidRPr="008C11C9">
        <w:rPr>
          <w:noProof/>
          <w:sz w:val="22"/>
        </w:rPr>
        <w:instrText xml:space="preserve"> PAGEREF _Toc461106818 \h </w:instrText>
      </w:r>
      <w:r w:rsidRPr="008C11C9">
        <w:rPr>
          <w:noProof/>
          <w:sz w:val="22"/>
        </w:rPr>
      </w:r>
      <w:r w:rsidRPr="008C11C9">
        <w:rPr>
          <w:noProof/>
          <w:sz w:val="22"/>
        </w:rPr>
        <w:fldChar w:fldCharType="separate"/>
      </w:r>
      <w:r w:rsidRPr="008C11C9">
        <w:rPr>
          <w:noProof/>
          <w:sz w:val="22"/>
        </w:rPr>
        <w:t>49</w:t>
      </w:r>
      <w:r w:rsidRPr="008C11C9">
        <w:rPr>
          <w:noProof/>
          <w:sz w:val="22"/>
        </w:rPr>
        <w:fldChar w:fldCharType="end"/>
      </w:r>
    </w:p>
    <w:p w:rsidR="008C11C9" w:rsidRPr="008C11C9" w:rsidRDefault="008C11C9" w:rsidP="008C11C9">
      <w:pPr>
        <w:pStyle w:val="TableofFigures"/>
        <w:tabs>
          <w:tab w:val="right" w:leader="dot" w:pos="9350"/>
        </w:tabs>
        <w:spacing w:after="100" w:line="240" w:lineRule="auto"/>
        <w:rPr>
          <w:rFonts w:asciiTheme="minorHAnsi" w:eastAsiaTheme="minorEastAsia" w:hAnsiTheme="minorHAnsi"/>
          <w:noProof/>
          <w:sz w:val="22"/>
        </w:rPr>
      </w:pPr>
      <w:r w:rsidRPr="008C11C9">
        <w:rPr>
          <w:noProof/>
          <w:sz w:val="22"/>
        </w:rPr>
        <w:t>Equation 1: Regression Equation for Calculating Emissions</w:t>
      </w:r>
      <w:r w:rsidRPr="008C11C9">
        <w:rPr>
          <w:noProof/>
          <w:sz w:val="22"/>
        </w:rPr>
        <w:tab/>
      </w:r>
      <w:r w:rsidRPr="008C11C9">
        <w:rPr>
          <w:noProof/>
          <w:sz w:val="22"/>
        </w:rPr>
        <w:fldChar w:fldCharType="begin"/>
      </w:r>
      <w:r w:rsidRPr="008C11C9">
        <w:rPr>
          <w:noProof/>
          <w:sz w:val="22"/>
        </w:rPr>
        <w:instrText xml:space="preserve"> PAGEREF _Toc461106819 \h </w:instrText>
      </w:r>
      <w:r w:rsidRPr="008C11C9">
        <w:rPr>
          <w:noProof/>
          <w:sz w:val="22"/>
        </w:rPr>
      </w:r>
      <w:r w:rsidRPr="008C11C9">
        <w:rPr>
          <w:noProof/>
          <w:sz w:val="22"/>
        </w:rPr>
        <w:fldChar w:fldCharType="separate"/>
      </w:r>
      <w:r w:rsidRPr="008C11C9">
        <w:rPr>
          <w:noProof/>
          <w:sz w:val="22"/>
        </w:rPr>
        <w:t>51</w:t>
      </w:r>
      <w:r w:rsidRPr="008C11C9">
        <w:rPr>
          <w:noProof/>
          <w:sz w:val="22"/>
        </w:rPr>
        <w:fldChar w:fldCharType="end"/>
      </w:r>
    </w:p>
    <w:p w:rsidR="008C11C9" w:rsidRPr="008C11C9" w:rsidRDefault="008C11C9" w:rsidP="008C11C9">
      <w:pPr>
        <w:pStyle w:val="TableofFigures"/>
        <w:tabs>
          <w:tab w:val="left" w:pos="1320"/>
          <w:tab w:val="right" w:leader="dot" w:pos="9350"/>
        </w:tabs>
        <w:spacing w:after="100" w:line="240" w:lineRule="auto"/>
        <w:rPr>
          <w:rFonts w:asciiTheme="minorHAnsi" w:eastAsiaTheme="minorEastAsia" w:hAnsiTheme="minorHAnsi"/>
          <w:noProof/>
          <w:sz w:val="22"/>
        </w:rPr>
      </w:pPr>
      <w:r w:rsidRPr="008C11C9">
        <w:rPr>
          <w:rFonts w:asciiTheme="minorHAnsi" w:hAnsiTheme="minorHAnsi"/>
          <w:noProof/>
          <w:sz w:val="22"/>
        </w:rPr>
        <w:t>Table 3-15</w:t>
      </w:r>
      <w:r w:rsidRPr="008C11C9">
        <w:rPr>
          <w:rFonts w:asciiTheme="minorHAnsi" w:eastAsiaTheme="minorEastAsia" w:hAnsiTheme="minorHAnsi"/>
          <w:noProof/>
          <w:sz w:val="22"/>
        </w:rPr>
        <w:tab/>
      </w:r>
      <w:r w:rsidRPr="008C11C9">
        <w:rPr>
          <w:rFonts w:asciiTheme="minorHAnsi" w:hAnsiTheme="minorHAnsi"/>
          <w:noProof/>
          <w:sz w:val="22"/>
        </w:rPr>
        <w:t>Emissions from Avoidable Nonroad Idling, OTC States 2009 (tpy)</w:t>
      </w:r>
      <w:r w:rsidRPr="008C11C9">
        <w:rPr>
          <w:noProof/>
          <w:sz w:val="22"/>
        </w:rPr>
        <w:tab/>
      </w:r>
      <w:r w:rsidRPr="008C11C9">
        <w:rPr>
          <w:noProof/>
          <w:sz w:val="22"/>
        </w:rPr>
        <w:fldChar w:fldCharType="begin"/>
      </w:r>
      <w:r w:rsidRPr="008C11C9">
        <w:rPr>
          <w:noProof/>
          <w:sz w:val="22"/>
        </w:rPr>
        <w:instrText xml:space="preserve"> PAGEREF _Toc461106820 \h </w:instrText>
      </w:r>
      <w:r w:rsidRPr="008C11C9">
        <w:rPr>
          <w:noProof/>
          <w:sz w:val="22"/>
        </w:rPr>
      </w:r>
      <w:r w:rsidRPr="008C11C9">
        <w:rPr>
          <w:noProof/>
          <w:sz w:val="22"/>
        </w:rPr>
        <w:fldChar w:fldCharType="separate"/>
      </w:r>
      <w:r w:rsidRPr="008C11C9">
        <w:rPr>
          <w:noProof/>
          <w:sz w:val="22"/>
        </w:rPr>
        <w:t>52</w:t>
      </w:r>
      <w:r w:rsidRPr="008C11C9">
        <w:rPr>
          <w:noProof/>
          <w:sz w:val="22"/>
        </w:rPr>
        <w:fldChar w:fldCharType="end"/>
      </w:r>
    </w:p>
    <w:p w:rsidR="008C11C9" w:rsidRPr="008C11C9" w:rsidRDefault="008C11C9" w:rsidP="008C11C9">
      <w:pPr>
        <w:pStyle w:val="TableofFigures"/>
        <w:tabs>
          <w:tab w:val="right" w:leader="dot" w:pos="9350"/>
        </w:tabs>
        <w:spacing w:after="100" w:line="240" w:lineRule="auto"/>
        <w:rPr>
          <w:rFonts w:asciiTheme="minorHAnsi" w:eastAsiaTheme="minorEastAsia" w:hAnsiTheme="minorHAnsi"/>
          <w:noProof/>
          <w:sz w:val="22"/>
        </w:rPr>
      </w:pPr>
      <w:r w:rsidRPr="008C11C9">
        <w:rPr>
          <w:noProof/>
          <w:sz w:val="22"/>
        </w:rPr>
        <w:t>Equation 2: Equation for Calculating Controlled Emissions</w:t>
      </w:r>
      <w:r w:rsidRPr="008C11C9">
        <w:rPr>
          <w:noProof/>
          <w:sz w:val="22"/>
        </w:rPr>
        <w:tab/>
      </w:r>
      <w:r w:rsidRPr="008C11C9">
        <w:rPr>
          <w:noProof/>
          <w:sz w:val="22"/>
        </w:rPr>
        <w:fldChar w:fldCharType="begin"/>
      </w:r>
      <w:r w:rsidRPr="008C11C9">
        <w:rPr>
          <w:noProof/>
          <w:sz w:val="22"/>
        </w:rPr>
        <w:instrText xml:space="preserve"> PAGEREF _Toc461106821 \h </w:instrText>
      </w:r>
      <w:r w:rsidRPr="008C11C9">
        <w:rPr>
          <w:noProof/>
          <w:sz w:val="22"/>
        </w:rPr>
      </w:r>
      <w:r w:rsidRPr="008C11C9">
        <w:rPr>
          <w:noProof/>
          <w:sz w:val="22"/>
        </w:rPr>
        <w:fldChar w:fldCharType="separate"/>
      </w:r>
      <w:r w:rsidRPr="008C11C9">
        <w:rPr>
          <w:noProof/>
          <w:sz w:val="22"/>
        </w:rPr>
        <w:t>53</w:t>
      </w:r>
      <w:r w:rsidRPr="008C11C9">
        <w:rPr>
          <w:noProof/>
          <w:sz w:val="22"/>
        </w:rPr>
        <w:fldChar w:fldCharType="end"/>
      </w:r>
    </w:p>
    <w:p w:rsidR="008C11C9" w:rsidRPr="008C11C9" w:rsidRDefault="008C11C9" w:rsidP="008C11C9">
      <w:pPr>
        <w:pStyle w:val="TableofFigures"/>
        <w:tabs>
          <w:tab w:val="left" w:pos="1320"/>
          <w:tab w:val="right" w:leader="dot" w:pos="9350"/>
        </w:tabs>
        <w:spacing w:after="100" w:line="240" w:lineRule="auto"/>
        <w:rPr>
          <w:rFonts w:asciiTheme="minorHAnsi" w:eastAsiaTheme="minorEastAsia" w:hAnsiTheme="minorHAnsi"/>
          <w:noProof/>
          <w:sz w:val="22"/>
        </w:rPr>
      </w:pPr>
      <w:r w:rsidRPr="008C11C9">
        <w:rPr>
          <w:rFonts w:asciiTheme="minorHAnsi" w:hAnsiTheme="minorHAnsi"/>
          <w:noProof/>
          <w:sz w:val="22"/>
        </w:rPr>
        <w:t>Table 3-16</w:t>
      </w:r>
      <w:r w:rsidRPr="008C11C9">
        <w:rPr>
          <w:rFonts w:asciiTheme="minorHAnsi" w:eastAsiaTheme="minorEastAsia" w:hAnsiTheme="minorHAnsi"/>
          <w:noProof/>
          <w:sz w:val="22"/>
        </w:rPr>
        <w:tab/>
      </w:r>
      <w:r w:rsidRPr="008C11C9">
        <w:rPr>
          <w:rFonts w:asciiTheme="minorHAnsi" w:hAnsiTheme="minorHAnsi"/>
          <w:noProof/>
          <w:sz w:val="22"/>
        </w:rPr>
        <w:t>Benefits from Avoidable Nonroad Idling, OTC States 2016</w:t>
      </w:r>
      <w:r w:rsidRPr="008C11C9">
        <w:rPr>
          <w:noProof/>
          <w:sz w:val="22"/>
        </w:rPr>
        <w:tab/>
      </w:r>
      <w:r w:rsidRPr="008C11C9">
        <w:rPr>
          <w:noProof/>
          <w:sz w:val="22"/>
        </w:rPr>
        <w:fldChar w:fldCharType="begin"/>
      </w:r>
      <w:r w:rsidRPr="008C11C9">
        <w:rPr>
          <w:noProof/>
          <w:sz w:val="22"/>
        </w:rPr>
        <w:instrText xml:space="preserve"> PAGEREF _Toc461106822 \h </w:instrText>
      </w:r>
      <w:r w:rsidRPr="008C11C9">
        <w:rPr>
          <w:noProof/>
          <w:sz w:val="22"/>
        </w:rPr>
      </w:r>
      <w:r w:rsidRPr="008C11C9">
        <w:rPr>
          <w:noProof/>
          <w:sz w:val="22"/>
        </w:rPr>
        <w:fldChar w:fldCharType="separate"/>
      </w:r>
      <w:r w:rsidRPr="008C11C9">
        <w:rPr>
          <w:noProof/>
          <w:sz w:val="22"/>
        </w:rPr>
        <w:t>53</w:t>
      </w:r>
      <w:r w:rsidRPr="008C11C9">
        <w:rPr>
          <w:noProof/>
          <w:sz w:val="22"/>
        </w:rPr>
        <w:fldChar w:fldCharType="end"/>
      </w:r>
    </w:p>
    <w:p w:rsidR="008C11C9" w:rsidRPr="008C11C9" w:rsidRDefault="008C11C9" w:rsidP="008C11C9">
      <w:pPr>
        <w:pStyle w:val="TableofFigures"/>
        <w:tabs>
          <w:tab w:val="left" w:pos="1320"/>
          <w:tab w:val="right" w:leader="dot" w:pos="9350"/>
        </w:tabs>
        <w:spacing w:after="100" w:line="240" w:lineRule="auto"/>
        <w:rPr>
          <w:rFonts w:asciiTheme="minorHAnsi" w:eastAsiaTheme="minorEastAsia" w:hAnsiTheme="minorHAnsi"/>
          <w:noProof/>
          <w:sz w:val="22"/>
        </w:rPr>
      </w:pPr>
      <w:r w:rsidRPr="008C11C9">
        <w:rPr>
          <w:rFonts w:asciiTheme="minorHAnsi" w:hAnsiTheme="minorHAnsi"/>
          <w:noProof/>
          <w:sz w:val="22"/>
        </w:rPr>
        <w:t>Table 3-17</w:t>
      </w:r>
      <w:r w:rsidRPr="008C11C9">
        <w:rPr>
          <w:rFonts w:asciiTheme="minorHAnsi" w:eastAsiaTheme="minorEastAsia" w:hAnsiTheme="minorHAnsi"/>
          <w:noProof/>
          <w:sz w:val="22"/>
        </w:rPr>
        <w:tab/>
      </w:r>
      <w:r w:rsidRPr="008C11C9">
        <w:rPr>
          <w:rFonts w:asciiTheme="minorHAnsi" w:hAnsiTheme="minorHAnsi"/>
          <w:noProof/>
          <w:sz w:val="22"/>
        </w:rPr>
        <w:t>Emissions from Avoidable Nonroad Idling, OTC States 2009 (tpy)</w:t>
      </w:r>
      <w:r w:rsidRPr="008C11C9">
        <w:rPr>
          <w:noProof/>
          <w:sz w:val="22"/>
        </w:rPr>
        <w:tab/>
      </w:r>
      <w:r w:rsidRPr="008C11C9">
        <w:rPr>
          <w:noProof/>
          <w:sz w:val="22"/>
        </w:rPr>
        <w:fldChar w:fldCharType="begin"/>
      </w:r>
      <w:r w:rsidRPr="008C11C9">
        <w:rPr>
          <w:noProof/>
          <w:sz w:val="22"/>
        </w:rPr>
        <w:instrText xml:space="preserve"> PAGEREF _Toc461106823 \h </w:instrText>
      </w:r>
      <w:r w:rsidRPr="008C11C9">
        <w:rPr>
          <w:noProof/>
          <w:sz w:val="22"/>
        </w:rPr>
      </w:r>
      <w:r w:rsidRPr="008C11C9">
        <w:rPr>
          <w:noProof/>
          <w:sz w:val="22"/>
        </w:rPr>
        <w:fldChar w:fldCharType="separate"/>
      </w:r>
      <w:r w:rsidRPr="008C11C9">
        <w:rPr>
          <w:noProof/>
          <w:sz w:val="22"/>
        </w:rPr>
        <w:t>53</w:t>
      </w:r>
      <w:r w:rsidRPr="008C11C9">
        <w:rPr>
          <w:noProof/>
          <w:sz w:val="22"/>
        </w:rPr>
        <w:fldChar w:fldCharType="end"/>
      </w:r>
    </w:p>
    <w:p w:rsidR="008C11C9" w:rsidRPr="008C11C9" w:rsidRDefault="008C11C9" w:rsidP="008C11C9">
      <w:pPr>
        <w:pStyle w:val="TableofFigures"/>
        <w:tabs>
          <w:tab w:val="left" w:pos="1320"/>
          <w:tab w:val="right" w:leader="dot" w:pos="9350"/>
        </w:tabs>
        <w:spacing w:after="100" w:line="240" w:lineRule="auto"/>
        <w:rPr>
          <w:rFonts w:asciiTheme="minorHAnsi" w:eastAsiaTheme="minorEastAsia" w:hAnsiTheme="minorHAnsi"/>
          <w:noProof/>
          <w:sz w:val="22"/>
        </w:rPr>
      </w:pPr>
      <w:r w:rsidRPr="008C11C9">
        <w:rPr>
          <w:rFonts w:asciiTheme="minorHAnsi" w:hAnsiTheme="minorHAnsi"/>
          <w:noProof/>
          <w:sz w:val="22"/>
        </w:rPr>
        <w:t>Table 3-18</w:t>
      </w:r>
      <w:r w:rsidRPr="008C11C9">
        <w:rPr>
          <w:rFonts w:asciiTheme="minorHAnsi" w:eastAsiaTheme="minorEastAsia" w:hAnsiTheme="minorHAnsi"/>
          <w:noProof/>
          <w:sz w:val="22"/>
        </w:rPr>
        <w:tab/>
      </w:r>
      <w:r w:rsidRPr="008C11C9">
        <w:rPr>
          <w:rFonts w:asciiTheme="minorHAnsi" w:hAnsiTheme="minorHAnsi"/>
          <w:noProof/>
          <w:sz w:val="22"/>
        </w:rPr>
        <w:t>NOx Emission Reduction Estimates from an updated Aftermarket Catalytic Converter Program in the OTR in 2015</w:t>
      </w:r>
      <w:r w:rsidRPr="008C11C9">
        <w:rPr>
          <w:noProof/>
          <w:sz w:val="22"/>
        </w:rPr>
        <w:tab/>
      </w:r>
      <w:r w:rsidRPr="008C11C9">
        <w:rPr>
          <w:noProof/>
          <w:sz w:val="22"/>
        </w:rPr>
        <w:fldChar w:fldCharType="begin"/>
      </w:r>
      <w:r w:rsidRPr="008C11C9">
        <w:rPr>
          <w:noProof/>
          <w:sz w:val="22"/>
        </w:rPr>
        <w:instrText xml:space="preserve"> PAGEREF _Toc461106824 \h </w:instrText>
      </w:r>
      <w:r w:rsidRPr="008C11C9">
        <w:rPr>
          <w:noProof/>
          <w:sz w:val="22"/>
        </w:rPr>
      </w:r>
      <w:r w:rsidRPr="008C11C9">
        <w:rPr>
          <w:noProof/>
          <w:sz w:val="22"/>
        </w:rPr>
        <w:fldChar w:fldCharType="separate"/>
      </w:r>
      <w:r w:rsidRPr="008C11C9">
        <w:rPr>
          <w:noProof/>
          <w:sz w:val="22"/>
        </w:rPr>
        <w:t>57</w:t>
      </w:r>
      <w:r w:rsidRPr="008C11C9">
        <w:rPr>
          <w:noProof/>
          <w:sz w:val="22"/>
        </w:rPr>
        <w:fldChar w:fldCharType="end"/>
      </w:r>
    </w:p>
    <w:p w:rsidR="008C11C9" w:rsidRPr="008C11C9" w:rsidRDefault="008C11C9" w:rsidP="008C11C9">
      <w:pPr>
        <w:pStyle w:val="TableofFigures"/>
        <w:tabs>
          <w:tab w:val="left" w:pos="1320"/>
          <w:tab w:val="right" w:leader="dot" w:pos="9350"/>
        </w:tabs>
        <w:spacing w:after="100" w:line="240" w:lineRule="auto"/>
        <w:rPr>
          <w:rFonts w:asciiTheme="minorHAnsi" w:eastAsiaTheme="minorEastAsia" w:hAnsiTheme="minorHAnsi"/>
          <w:noProof/>
          <w:sz w:val="22"/>
        </w:rPr>
      </w:pPr>
      <w:r w:rsidRPr="008C11C9">
        <w:rPr>
          <w:rFonts w:asciiTheme="minorHAnsi" w:hAnsiTheme="minorHAnsi"/>
          <w:noProof/>
          <w:sz w:val="22"/>
        </w:rPr>
        <w:t>Table 3-19</w:t>
      </w:r>
      <w:r w:rsidRPr="008C11C9">
        <w:rPr>
          <w:rFonts w:asciiTheme="minorHAnsi" w:eastAsiaTheme="minorEastAsia" w:hAnsiTheme="minorHAnsi"/>
          <w:noProof/>
          <w:sz w:val="22"/>
        </w:rPr>
        <w:tab/>
      </w:r>
      <w:r w:rsidRPr="008C11C9">
        <w:rPr>
          <w:rFonts w:asciiTheme="minorHAnsi" w:hAnsiTheme="minorHAnsi"/>
          <w:noProof/>
          <w:sz w:val="22"/>
        </w:rPr>
        <w:t>Other Emission Reduction Estimates from an updated Aftermarket Catalytic Converter Program in the OTR in 2015</w:t>
      </w:r>
      <w:r w:rsidRPr="008C11C9">
        <w:rPr>
          <w:noProof/>
          <w:sz w:val="22"/>
        </w:rPr>
        <w:tab/>
      </w:r>
      <w:r w:rsidRPr="008C11C9">
        <w:rPr>
          <w:noProof/>
          <w:sz w:val="22"/>
        </w:rPr>
        <w:fldChar w:fldCharType="begin"/>
      </w:r>
      <w:r w:rsidRPr="008C11C9">
        <w:rPr>
          <w:noProof/>
          <w:sz w:val="22"/>
        </w:rPr>
        <w:instrText xml:space="preserve"> PAGEREF _Toc461106825 \h </w:instrText>
      </w:r>
      <w:r w:rsidRPr="008C11C9">
        <w:rPr>
          <w:noProof/>
          <w:sz w:val="22"/>
        </w:rPr>
      </w:r>
      <w:r w:rsidRPr="008C11C9">
        <w:rPr>
          <w:noProof/>
          <w:sz w:val="22"/>
        </w:rPr>
        <w:fldChar w:fldCharType="separate"/>
      </w:r>
      <w:r w:rsidRPr="008C11C9">
        <w:rPr>
          <w:noProof/>
          <w:sz w:val="22"/>
        </w:rPr>
        <w:t>58</w:t>
      </w:r>
      <w:r w:rsidRPr="008C11C9">
        <w:rPr>
          <w:noProof/>
          <w:sz w:val="22"/>
        </w:rPr>
        <w:fldChar w:fldCharType="end"/>
      </w:r>
    </w:p>
    <w:p w:rsidR="00684591" w:rsidRPr="00684591" w:rsidRDefault="0080655C" w:rsidP="00CA472B">
      <w:pPr>
        <w:spacing w:after="100" w:line="240" w:lineRule="auto"/>
        <w:jc w:val="both"/>
        <w:rPr>
          <w:rFonts w:asciiTheme="minorHAnsi" w:hAnsiTheme="minorHAnsi"/>
          <w:sz w:val="22"/>
        </w:rPr>
      </w:pPr>
      <w:r w:rsidRPr="00CA472B">
        <w:rPr>
          <w:rFonts w:asciiTheme="minorHAnsi" w:hAnsiTheme="minorHAnsi"/>
          <w:b/>
          <w:sz w:val="22"/>
        </w:rPr>
        <w:fldChar w:fldCharType="end"/>
      </w:r>
    </w:p>
    <w:p w:rsidR="00684591" w:rsidRPr="00684591" w:rsidRDefault="00684591" w:rsidP="00684591">
      <w:pPr>
        <w:spacing w:after="0"/>
        <w:rPr>
          <w:rFonts w:asciiTheme="minorHAnsi" w:hAnsiTheme="minorHAnsi"/>
          <w:sz w:val="22"/>
        </w:rPr>
      </w:pPr>
    </w:p>
    <w:p w:rsidR="00EF5EA2" w:rsidRDefault="00EF5EA2" w:rsidP="00684591">
      <w:pPr>
        <w:spacing w:line="240" w:lineRule="auto"/>
        <w:jc w:val="both"/>
        <w:rPr>
          <w:rFonts w:eastAsiaTheme="majorEastAsia" w:cstheme="majorBidi"/>
          <w:b/>
          <w:spacing w:val="-10"/>
          <w:kern w:val="28"/>
          <w:sz w:val="32"/>
          <w:szCs w:val="56"/>
        </w:rPr>
      </w:pPr>
      <w:r>
        <w:br w:type="page"/>
      </w:r>
    </w:p>
    <w:p w:rsidR="009B2F9B" w:rsidRDefault="0081054E" w:rsidP="008C4331">
      <w:pPr>
        <w:pStyle w:val="Heading1"/>
      </w:pPr>
      <w:bookmarkStart w:id="4" w:name="_Toc461025600"/>
      <w:bookmarkStart w:id="5" w:name="_Toc461025813"/>
      <w:bookmarkStart w:id="6" w:name="_Toc461027079"/>
      <w:r>
        <w:lastRenderedPageBreak/>
        <w:t>1</w:t>
      </w:r>
      <w:r w:rsidR="009B2F9B" w:rsidRPr="003B5524">
        <w:t>.0</w:t>
      </w:r>
      <w:r w:rsidR="009B2F9B">
        <w:tab/>
      </w:r>
      <w:r w:rsidR="009B2F9B" w:rsidRPr="003B5524">
        <w:t>INTRODUCTION</w:t>
      </w:r>
      <w:bookmarkEnd w:id="4"/>
      <w:bookmarkEnd w:id="5"/>
      <w:bookmarkEnd w:id="6"/>
    </w:p>
    <w:p w:rsidR="009B2F9B" w:rsidRPr="00C94148" w:rsidRDefault="009B2F9B" w:rsidP="0081054E">
      <w:pPr>
        <w:autoSpaceDE w:val="0"/>
        <w:autoSpaceDN w:val="0"/>
        <w:adjustRightInd w:val="0"/>
        <w:spacing w:after="0" w:line="240" w:lineRule="auto"/>
        <w:jc w:val="both"/>
        <w:rPr>
          <w:rFonts w:cs="Times New Roman"/>
          <w:szCs w:val="24"/>
        </w:rPr>
      </w:pPr>
      <w:r w:rsidRPr="00C94148">
        <w:rPr>
          <w:rFonts w:cs="Times New Roman"/>
          <w:szCs w:val="24"/>
        </w:rPr>
        <w:t>The Ozone Transport Commission (OTC) is a multi-jurisdictional organization created under the Clean Air Act (CAA) amendments of 1990. The OTC is responsible for advising the United States Environmental Protection Agency (EPA) on ozone transport problems facing the Ozone Transport Region (OTR), and for developing and implementing regional solutions to the ground-level ozone problem across the Northeast and Mid-Atlantic regions. To supplement local and state-level efforts to reduce ozone precursor emissions, which are likely insufficient to attain federal standards, the OTC member states are considering control measures appropriate for adoption by all states in the region as part of their planning to attain and maintain compliance with the 8-hour ozone National Ambient Air Quality Standards (NAAQS).</w:t>
      </w:r>
    </w:p>
    <w:p w:rsidR="009B2F9B" w:rsidRPr="00C94148" w:rsidRDefault="009B2F9B" w:rsidP="0081054E">
      <w:pPr>
        <w:autoSpaceDE w:val="0"/>
        <w:autoSpaceDN w:val="0"/>
        <w:adjustRightInd w:val="0"/>
        <w:spacing w:before="200" w:line="240" w:lineRule="auto"/>
        <w:jc w:val="both"/>
        <w:rPr>
          <w:rFonts w:cs="Times New Roman"/>
          <w:szCs w:val="24"/>
        </w:rPr>
      </w:pPr>
      <w:r w:rsidRPr="00C94148">
        <w:rPr>
          <w:rFonts w:cs="Times New Roman"/>
          <w:szCs w:val="24"/>
        </w:rPr>
        <w:t>The development of the control measures described in this document mirrors prior efforts. The OTC developed a series of model rules in 2001, 2006, and these 2009/2010 model rules for the states to consider in adopting control measures to reduce volatile organic compound (VOC) emissions and oxides of nitrogen (NO</w:t>
      </w:r>
      <w:r w:rsidRPr="00C94148">
        <w:rPr>
          <w:rFonts w:cs="Times New Roman"/>
          <w:szCs w:val="24"/>
          <w:vertAlign w:val="subscript"/>
        </w:rPr>
        <w:t>x</w:t>
      </w:r>
      <w:r w:rsidRPr="00C94148">
        <w:rPr>
          <w:rFonts w:cs="Times New Roman"/>
          <w:szCs w:val="24"/>
        </w:rPr>
        <w:t>), which are ozone precursors, to: (1) assist in the attainment of the old one-hour and more recent eight-hour ozone health standard, (2) address the VOC and NO</w:t>
      </w:r>
      <w:r w:rsidRPr="00C94148">
        <w:rPr>
          <w:rFonts w:cs="Times New Roman"/>
          <w:szCs w:val="24"/>
          <w:vertAlign w:val="subscript"/>
        </w:rPr>
        <w:t>x</w:t>
      </w:r>
      <w:r w:rsidRPr="00C94148">
        <w:rPr>
          <w:rFonts w:cs="Times New Roman"/>
          <w:szCs w:val="24"/>
        </w:rPr>
        <w:t xml:space="preserve"> emission reduction shortfalls identified by EPA, and (3) assist in the implementation of State Implementation Plan (SIP) commitments to EPA. </w:t>
      </w:r>
    </w:p>
    <w:p w:rsidR="009B2F9B" w:rsidRPr="00C94148" w:rsidRDefault="009B2F9B" w:rsidP="0081054E">
      <w:pPr>
        <w:autoSpaceDE w:val="0"/>
        <w:autoSpaceDN w:val="0"/>
        <w:adjustRightInd w:val="0"/>
        <w:spacing w:after="60" w:line="240" w:lineRule="auto"/>
        <w:jc w:val="both"/>
        <w:rPr>
          <w:rFonts w:cs="Times New Roman"/>
          <w:szCs w:val="24"/>
        </w:rPr>
      </w:pPr>
      <w:r w:rsidRPr="00C94148">
        <w:rPr>
          <w:rFonts w:cs="Times New Roman"/>
          <w:szCs w:val="24"/>
        </w:rPr>
        <w:t xml:space="preserve">The report provides a description of the stationary source model rules adopted by the OTC from 2009 to 2016 to help states attain the 8-hour ozone NAAQS.  The OTC model rules for VOC are for the following categories: </w:t>
      </w:r>
    </w:p>
    <w:p w:rsidR="009B2F9B" w:rsidRPr="00C94148" w:rsidRDefault="009B2F9B" w:rsidP="0081054E">
      <w:pPr>
        <w:pStyle w:val="ListParagraph"/>
        <w:numPr>
          <w:ilvl w:val="0"/>
          <w:numId w:val="1"/>
        </w:numPr>
        <w:autoSpaceDE w:val="0"/>
        <w:autoSpaceDN w:val="0"/>
        <w:adjustRightInd w:val="0"/>
        <w:spacing w:after="0" w:line="240" w:lineRule="auto"/>
        <w:rPr>
          <w:rFonts w:cs="Times New Roman"/>
          <w:sz w:val="24"/>
          <w:szCs w:val="24"/>
        </w:rPr>
      </w:pPr>
      <w:r w:rsidRPr="00C94148">
        <w:rPr>
          <w:rFonts w:cs="Times New Roman"/>
          <w:sz w:val="24"/>
          <w:szCs w:val="24"/>
        </w:rPr>
        <w:t>Stationary Above Ground Storage Tanks;</w:t>
      </w:r>
    </w:p>
    <w:p w:rsidR="009B2F9B" w:rsidRPr="00C94148" w:rsidRDefault="009B2F9B" w:rsidP="0081054E">
      <w:pPr>
        <w:pStyle w:val="ListParagraph"/>
        <w:numPr>
          <w:ilvl w:val="0"/>
          <w:numId w:val="1"/>
        </w:numPr>
        <w:autoSpaceDE w:val="0"/>
        <w:autoSpaceDN w:val="0"/>
        <w:adjustRightInd w:val="0"/>
        <w:spacing w:after="0" w:line="240" w:lineRule="auto"/>
        <w:rPr>
          <w:rFonts w:cs="Times New Roman"/>
          <w:sz w:val="24"/>
          <w:szCs w:val="24"/>
        </w:rPr>
      </w:pPr>
      <w:r w:rsidRPr="00C94148">
        <w:rPr>
          <w:rFonts w:cs="Times New Roman"/>
          <w:sz w:val="24"/>
          <w:szCs w:val="24"/>
        </w:rPr>
        <w:t>Consumer Products;</w:t>
      </w:r>
    </w:p>
    <w:p w:rsidR="009B2F9B" w:rsidRPr="00C94148" w:rsidRDefault="009B2F9B" w:rsidP="0081054E">
      <w:pPr>
        <w:pStyle w:val="ListParagraph"/>
        <w:numPr>
          <w:ilvl w:val="0"/>
          <w:numId w:val="1"/>
        </w:numPr>
        <w:autoSpaceDE w:val="0"/>
        <w:autoSpaceDN w:val="0"/>
        <w:adjustRightInd w:val="0"/>
        <w:spacing w:after="0" w:line="240" w:lineRule="auto"/>
        <w:rPr>
          <w:rStyle w:val="apple-style-span"/>
          <w:rFonts w:cs="Times New Roman"/>
          <w:sz w:val="24"/>
          <w:szCs w:val="24"/>
        </w:rPr>
      </w:pPr>
      <w:r w:rsidRPr="00C94148">
        <w:rPr>
          <w:rStyle w:val="apple-style-span"/>
          <w:rFonts w:cs="Times New Roman"/>
          <w:color w:val="000000"/>
          <w:sz w:val="24"/>
          <w:szCs w:val="24"/>
        </w:rPr>
        <w:t>Motor Vehicle and</w:t>
      </w:r>
      <w:r w:rsidRPr="00C94148">
        <w:rPr>
          <w:rStyle w:val="apple-converted-space"/>
          <w:rFonts w:cs="Times New Roman"/>
          <w:color w:val="000000"/>
          <w:sz w:val="24"/>
          <w:szCs w:val="24"/>
        </w:rPr>
        <w:t xml:space="preserve"> </w:t>
      </w:r>
      <w:r w:rsidRPr="00C94148">
        <w:rPr>
          <w:rStyle w:val="apple-style-span"/>
          <w:rFonts w:cs="Times New Roman"/>
          <w:color w:val="000000"/>
          <w:sz w:val="24"/>
          <w:szCs w:val="24"/>
        </w:rPr>
        <w:t>Mobile</w:t>
      </w:r>
      <w:r w:rsidRPr="00C94148">
        <w:rPr>
          <w:rStyle w:val="apple-converted-space"/>
          <w:rFonts w:cs="Times New Roman"/>
          <w:color w:val="000000"/>
          <w:sz w:val="24"/>
          <w:szCs w:val="24"/>
        </w:rPr>
        <w:t xml:space="preserve"> </w:t>
      </w:r>
      <w:r w:rsidRPr="00C94148">
        <w:rPr>
          <w:rStyle w:val="apple-style-span"/>
          <w:rFonts w:cs="Times New Roman"/>
          <w:color w:val="000000"/>
          <w:sz w:val="24"/>
          <w:szCs w:val="24"/>
        </w:rPr>
        <w:t>Equipment Non-assembly Line Coating Operations;</w:t>
      </w:r>
    </w:p>
    <w:p w:rsidR="009B2F9B" w:rsidRPr="00C94148" w:rsidRDefault="009B2F9B" w:rsidP="0081054E">
      <w:pPr>
        <w:pStyle w:val="ListParagraph"/>
        <w:numPr>
          <w:ilvl w:val="0"/>
          <w:numId w:val="1"/>
        </w:numPr>
        <w:autoSpaceDE w:val="0"/>
        <w:autoSpaceDN w:val="0"/>
        <w:adjustRightInd w:val="0"/>
        <w:spacing w:after="0" w:line="240" w:lineRule="auto"/>
        <w:rPr>
          <w:rFonts w:cs="Times New Roman"/>
          <w:sz w:val="24"/>
          <w:szCs w:val="24"/>
        </w:rPr>
      </w:pPr>
      <w:r w:rsidRPr="00C94148">
        <w:rPr>
          <w:rFonts w:cs="Times New Roman"/>
          <w:sz w:val="24"/>
          <w:szCs w:val="24"/>
        </w:rPr>
        <w:t>Architectural, Industrial and Maintenance Coatings</w:t>
      </w:r>
    </w:p>
    <w:p w:rsidR="009B2F9B" w:rsidRPr="00C94148" w:rsidRDefault="009B2F9B" w:rsidP="0081054E">
      <w:pPr>
        <w:pStyle w:val="ListParagraph"/>
        <w:numPr>
          <w:ilvl w:val="0"/>
          <w:numId w:val="1"/>
        </w:numPr>
        <w:autoSpaceDE w:val="0"/>
        <w:autoSpaceDN w:val="0"/>
        <w:adjustRightInd w:val="0"/>
        <w:spacing w:after="0" w:line="240" w:lineRule="auto"/>
        <w:rPr>
          <w:rFonts w:cs="Times New Roman"/>
          <w:sz w:val="24"/>
          <w:szCs w:val="24"/>
        </w:rPr>
      </w:pPr>
      <w:r w:rsidRPr="00C94148">
        <w:rPr>
          <w:rFonts w:cs="Times New Roman"/>
          <w:sz w:val="24"/>
          <w:szCs w:val="24"/>
        </w:rPr>
        <w:t>Solvent Degreasing.</w:t>
      </w:r>
    </w:p>
    <w:p w:rsidR="009B2F9B" w:rsidRPr="00C94148" w:rsidRDefault="009B2F9B" w:rsidP="0081054E">
      <w:pPr>
        <w:autoSpaceDE w:val="0"/>
        <w:autoSpaceDN w:val="0"/>
        <w:adjustRightInd w:val="0"/>
        <w:spacing w:before="200" w:after="60" w:line="240" w:lineRule="auto"/>
        <w:rPr>
          <w:rFonts w:cs="Times New Roman"/>
          <w:szCs w:val="24"/>
        </w:rPr>
      </w:pPr>
      <w:r w:rsidRPr="00C94148">
        <w:rPr>
          <w:rFonts w:cs="Times New Roman"/>
          <w:szCs w:val="24"/>
        </w:rPr>
        <w:t>The OTC model rules for NO</w:t>
      </w:r>
      <w:r w:rsidRPr="00C94148">
        <w:rPr>
          <w:rFonts w:cs="Times New Roman"/>
          <w:szCs w:val="24"/>
          <w:vertAlign w:val="subscript"/>
        </w:rPr>
        <w:t>x</w:t>
      </w:r>
      <w:r w:rsidRPr="00C94148">
        <w:rPr>
          <w:rFonts w:cs="Times New Roman"/>
          <w:szCs w:val="24"/>
        </w:rPr>
        <w:t xml:space="preserve"> are from the following categories:</w:t>
      </w:r>
    </w:p>
    <w:p w:rsidR="009B2F9B" w:rsidRPr="00C94148" w:rsidRDefault="009B2F9B" w:rsidP="0081054E">
      <w:pPr>
        <w:pStyle w:val="ListParagraph"/>
        <w:numPr>
          <w:ilvl w:val="0"/>
          <w:numId w:val="2"/>
        </w:numPr>
        <w:autoSpaceDE w:val="0"/>
        <w:autoSpaceDN w:val="0"/>
        <w:adjustRightInd w:val="0"/>
        <w:spacing w:after="0" w:line="240" w:lineRule="auto"/>
        <w:rPr>
          <w:rFonts w:cs="Times New Roman"/>
          <w:sz w:val="24"/>
          <w:szCs w:val="24"/>
        </w:rPr>
      </w:pPr>
      <w:r w:rsidRPr="00C94148">
        <w:rPr>
          <w:rFonts w:cs="Times New Roman"/>
          <w:sz w:val="24"/>
          <w:szCs w:val="24"/>
        </w:rPr>
        <w:t>Stationary Generators;</w:t>
      </w:r>
    </w:p>
    <w:p w:rsidR="009B2F9B" w:rsidRPr="00C94148" w:rsidRDefault="009B2F9B" w:rsidP="0081054E">
      <w:pPr>
        <w:pStyle w:val="ListParagraph"/>
        <w:numPr>
          <w:ilvl w:val="0"/>
          <w:numId w:val="2"/>
        </w:numPr>
        <w:autoSpaceDE w:val="0"/>
        <w:autoSpaceDN w:val="0"/>
        <w:adjustRightInd w:val="0"/>
        <w:spacing w:after="0" w:line="240" w:lineRule="auto"/>
        <w:rPr>
          <w:rFonts w:cs="Times New Roman"/>
          <w:sz w:val="24"/>
          <w:szCs w:val="24"/>
        </w:rPr>
      </w:pPr>
      <w:r w:rsidRPr="00C94148">
        <w:rPr>
          <w:rFonts w:cs="Times New Roman"/>
          <w:sz w:val="24"/>
          <w:szCs w:val="24"/>
        </w:rPr>
        <w:t>New Natural Gas-Fired Boilers, Steam Generators, Process Heaters, and Water Heaters</w:t>
      </w:r>
      <w:r>
        <w:rPr>
          <w:rFonts w:cs="Times New Roman"/>
          <w:sz w:val="24"/>
          <w:szCs w:val="24"/>
        </w:rPr>
        <w:t>,</w:t>
      </w:r>
      <w:r w:rsidRPr="00C94148">
        <w:rPr>
          <w:rFonts w:cs="Times New Roman"/>
          <w:sz w:val="24"/>
          <w:szCs w:val="24"/>
        </w:rPr>
        <w:t xml:space="preserve"> </w:t>
      </w:r>
      <w:bookmarkStart w:id="7" w:name="OLE_LINK11"/>
      <w:bookmarkStart w:id="8" w:name="OLE_LINK12"/>
      <w:r w:rsidRPr="00C94148">
        <w:rPr>
          <w:rFonts w:cs="Times New Roman"/>
          <w:sz w:val="24"/>
          <w:szCs w:val="24"/>
        </w:rPr>
        <w:t>75,000 - 5,000,000 BTU/hr</w:t>
      </w:r>
      <w:bookmarkEnd w:id="7"/>
      <w:bookmarkEnd w:id="8"/>
    </w:p>
    <w:p w:rsidR="009B2F9B" w:rsidRPr="00C94148" w:rsidRDefault="009B2F9B" w:rsidP="0081054E">
      <w:pPr>
        <w:pStyle w:val="ListParagraph"/>
        <w:numPr>
          <w:ilvl w:val="0"/>
          <w:numId w:val="2"/>
        </w:numPr>
        <w:autoSpaceDE w:val="0"/>
        <w:autoSpaceDN w:val="0"/>
        <w:adjustRightInd w:val="0"/>
        <w:spacing w:after="0" w:line="240" w:lineRule="auto"/>
        <w:rPr>
          <w:rFonts w:cs="Times New Roman"/>
          <w:sz w:val="24"/>
          <w:szCs w:val="24"/>
        </w:rPr>
      </w:pPr>
      <w:r w:rsidRPr="00C94148">
        <w:rPr>
          <w:rFonts w:cs="Times New Roman"/>
          <w:sz w:val="24"/>
          <w:szCs w:val="24"/>
        </w:rPr>
        <w:t>Performance Standards for High Electric Demand Day Combustion Turbines (HEDDCT);</w:t>
      </w:r>
    </w:p>
    <w:p w:rsidR="009B2F9B" w:rsidRPr="00C94148" w:rsidRDefault="009B2F9B" w:rsidP="0081054E">
      <w:pPr>
        <w:pStyle w:val="ListParagraph"/>
        <w:numPr>
          <w:ilvl w:val="0"/>
          <w:numId w:val="2"/>
        </w:numPr>
        <w:autoSpaceDE w:val="0"/>
        <w:autoSpaceDN w:val="0"/>
        <w:adjustRightInd w:val="0"/>
        <w:spacing w:after="0" w:line="240" w:lineRule="auto"/>
        <w:rPr>
          <w:rFonts w:cs="Times New Roman"/>
          <w:sz w:val="24"/>
          <w:szCs w:val="24"/>
        </w:rPr>
      </w:pPr>
      <w:r w:rsidRPr="00C94148">
        <w:rPr>
          <w:rFonts w:cs="Times New Roman"/>
          <w:sz w:val="24"/>
          <w:szCs w:val="24"/>
        </w:rPr>
        <w:t>Oil and Gas Boilers Serving Electricity Generating Units (EGUs).</w:t>
      </w:r>
    </w:p>
    <w:p w:rsidR="009B2F9B" w:rsidRPr="00AC4B78" w:rsidRDefault="009B2F9B" w:rsidP="0081054E">
      <w:pPr>
        <w:spacing w:before="200" w:line="240" w:lineRule="auto"/>
        <w:rPr>
          <w:szCs w:val="24"/>
        </w:rPr>
      </w:pPr>
      <w:bookmarkStart w:id="9" w:name="OLE_LINK9"/>
      <w:bookmarkStart w:id="10" w:name="OLE_LINK10"/>
      <w:r w:rsidRPr="00AC4B78">
        <w:rPr>
          <w:rFonts w:cs="Times New Roman"/>
          <w:szCs w:val="24"/>
        </w:rPr>
        <w:t>Section 3.0 contains VOC model rules along with a summary of the existing Federal and State regulations, the major elements of the model rule, quantification of the emission benefits, anticipated costs</w:t>
      </w:r>
      <w:r>
        <w:rPr>
          <w:rFonts w:cs="Times New Roman"/>
          <w:szCs w:val="24"/>
        </w:rPr>
        <w:t>,</w:t>
      </w:r>
      <w:r w:rsidRPr="00AC4B78">
        <w:rPr>
          <w:rFonts w:cs="Times New Roman"/>
          <w:szCs w:val="24"/>
        </w:rPr>
        <w:t xml:space="preserve"> and cost-effectiveness of the rule. </w:t>
      </w:r>
    </w:p>
    <w:bookmarkEnd w:id="9"/>
    <w:bookmarkEnd w:id="10"/>
    <w:p w:rsidR="009B2F9B" w:rsidRPr="00AC4B78" w:rsidRDefault="009B2F9B" w:rsidP="0081054E">
      <w:pPr>
        <w:autoSpaceDE w:val="0"/>
        <w:autoSpaceDN w:val="0"/>
        <w:adjustRightInd w:val="0"/>
        <w:spacing w:after="0" w:line="240" w:lineRule="auto"/>
        <w:jc w:val="both"/>
        <w:rPr>
          <w:rFonts w:cs="Times New Roman"/>
          <w:szCs w:val="24"/>
        </w:rPr>
      </w:pPr>
      <w:r w:rsidRPr="00AC4B78">
        <w:rPr>
          <w:rFonts w:cs="Times New Roman"/>
          <w:szCs w:val="24"/>
        </w:rPr>
        <w:t>Section 4.0 contains similar information for the NO</w:t>
      </w:r>
      <w:r w:rsidRPr="00AC4B78">
        <w:rPr>
          <w:rFonts w:cs="Times New Roman"/>
          <w:szCs w:val="24"/>
          <w:vertAlign w:val="subscript"/>
        </w:rPr>
        <w:t>x</w:t>
      </w:r>
      <w:r w:rsidRPr="00AC4B78">
        <w:rPr>
          <w:rFonts w:cs="Times New Roman"/>
          <w:szCs w:val="24"/>
        </w:rPr>
        <w:t xml:space="preserve"> source categories. This document is intended to provide states with a guide to help in their individual state rulemaking process, and is specifically written to be applicable OTR wide.  OTC understands that states can, and should, supplement these documents and sections as needed to include state specific needs and changes </w:t>
      </w:r>
      <w:r w:rsidR="0060782B">
        <w:rPr>
          <w:noProof/>
        </w:rPr>
        <mc:AlternateContent>
          <mc:Choice Requires="wps">
            <w:drawing>
              <wp:anchor distT="0" distB="0" distL="114300" distR="114300" simplePos="0" relativeHeight="251677696" behindDoc="0" locked="1" layoutInCell="1" allowOverlap="0">
                <wp:simplePos x="0" y="0"/>
                <wp:positionH relativeFrom="margin">
                  <wp:posOffset>2667000</wp:posOffset>
                </wp:positionH>
                <wp:positionV relativeFrom="bottomMargin">
                  <wp:posOffset>145415</wp:posOffset>
                </wp:positionV>
                <wp:extent cx="914400" cy="23749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237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782B" w:rsidRDefault="0060782B" w:rsidP="0060782B">
                            <w:pPr>
                              <w:ind w:right="60"/>
                              <w:rPr>
                                <w:rFonts w:asciiTheme="minorHAnsi" w:hAnsiTheme="minorHAnsi"/>
                                <w:sz w:val="20"/>
                                <w:szCs w:val="20"/>
                              </w:rPr>
                            </w:pPr>
                            <w:hyperlink w:anchor="TOC" w:history="1">
                              <w:r>
                                <w:rPr>
                                  <w:rStyle w:val="Hyperlink"/>
                                  <w:sz w:val="20"/>
                                  <w:szCs w:val="20"/>
                                </w:rPr>
                                <w:t>Bac</w:t>
                              </w:r>
                              <w:r>
                                <w:rPr>
                                  <w:rStyle w:val="Hyperlink"/>
                                  <w:sz w:val="20"/>
                                  <w:szCs w:val="20"/>
                                </w:rPr>
                                <w:t>k</w:t>
                              </w:r>
                              <w:r>
                                <w:rPr>
                                  <w:rStyle w:val="Hyperlink"/>
                                  <w:sz w:val="20"/>
                                  <w:szCs w:val="20"/>
                                </w:rPr>
                                <w:t xml:space="preserve"> to TOC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left:0;text-align:left;margin-left:210pt;margin-top:11.45pt;width:1in;height:18.7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XdblgIAAKsFAAAOAAAAZHJzL2Uyb0RvYy54bWysVFFPGzEMfp+0/xDlfVxbCowTV9SBmCZV&#10;gAYTz2kuoRFJnCVp77pfj5O7K4XxwrSXOyf+bMf2Z5+dt0aTjfBBga3o+GBEibAcamUfK/rr/urL&#10;V0pCZLZmGqyo6FYEej77/OmscaWYwAp0LTxBJzaUjavoKkZXFkXgK2FYOAAnLColeMMiHv1jUXvW&#10;oHeji8lodFw04GvngYsQ8PayU9JZ9i+l4PFGyiAi0RXFt8X89fm7TN9idsbKR8/cSvH+GewfXmGY&#10;shh05+qSRUbWXv3lyijuIYCMBxxMAVIqLnIOmM149CabuxVzIueCxQluV6bw/9zy682tJ6rG3h1R&#10;YpnBHt2LNpJv0BK8wvo0LpQIu3MIjC3eIzbnGtwC+FNASLGH6QwColM9WulN+mOmBA2xBdtd2VMY&#10;jpen4+l0hBqOqsnhyfQ0t6V4MXY+xO8CDElCRT12NT+AbRYhpvCsHCApVgCt6iuldT4kJokL7cmG&#10;IQd0HKec0OIVSlvSVPT48GiUHVtI5h1O2+RGZC714VK2XYJZilstEkbbn0JiLXOe78RmnAu7i5/R&#10;CSUx1EcMe/zLqz5i3OWBFjky2LgzNsqC7/r6umT101Ay2eH7focu71SC2C7bTKLpQJgl1Fvki4du&#10;4oLjVwqbt2Ah3jKPI4b9xrURb/AjNWDxoZcoWYH/8959wiPzUUtJgyNb0fB7zbygRP+wOBOZRzjj&#10;+TA9OplgDL+vWe5r7NpcADJijAvK8SwmfNSDKD2YB9wu8xQVVcxyjF3ROIgXsVskuJ24mM8zCKfa&#10;sbiwd44PY5Koed8+MO96/kYk/jUMw83KNzTusKk/FubrCFJljqc6d1Xt648bIRO5315p5eyfM+pl&#10;x86eAQAA//8DAFBLAwQUAAYACAAAACEAI5G7bN4AAAAJAQAADwAAAGRycy9kb3ducmV2LnhtbEyP&#10;sU7DQAyGdyTe4WQklopeGkoEIU6FEJXaoQOBpds1Z5KInC/KXdvw9piJjrZ/ff7+YjW5Xp1oDJ1n&#10;hMU8AUVce9txg/D5sb57BBWiYWt6z4TwQwFW5fVVYXLrz/xOpyo2SiAccoPQxjjkWoe6JWfC3A/E&#10;cvvyozNRxrHRdjRngbtep0mSaWc6lg+tGei1pfq7OjqEXdhvZvtxs55Vweot0e5tu4iItzfTyzOo&#10;SFP8D8OfvqhDKU4Hf2QbVI+wFLxEEdL0CZQEHrKlLA4IWXIPuiz0ZYPyFwAA//8DAFBLAQItABQA&#10;BgAIAAAAIQC2gziS/gAAAOEBAAATAAAAAAAAAAAAAAAAAAAAAABbQ29udGVudF9UeXBlc10ueG1s&#10;UEsBAi0AFAAGAAgAAAAhADj9If/WAAAAlAEAAAsAAAAAAAAAAAAAAAAALwEAAF9yZWxzLy5yZWxz&#10;UEsBAi0AFAAGAAgAAAAhAEmhd1uWAgAAqwUAAA4AAAAAAAAAAAAAAAAALgIAAGRycy9lMm9Eb2Mu&#10;eG1sUEsBAi0AFAAGAAgAAAAhACORu2zeAAAACQEAAA8AAAAAAAAAAAAAAAAA8AQAAGRycy9kb3du&#10;cmV2LnhtbFBLBQYAAAAABAAEAPMAAAD7BQAAAAA=&#10;" o:allowoverlap="f" fillcolor="white [3201]" stroked="f" strokeweight=".5pt">
                <v:path arrowok="t"/>
                <v:textbox>
                  <w:txbxContent>
                    <w:p w:rsidR="0060782B" w:rsidRDefault="0060782B" w:rsidP="0060782B">
                      <w:pPr>
                        <w:ind w:right="60"/>
                        <w:rPr>
                          <w:rFonts w:asciiTheme="minorHAnsi" w:hAnsiTheme="minorHAnsi"/>
                          <w:sz w:val="20"/>
                          <w:szCs w:val="20"/>
                        </w:rPr>
                      </w:pPr>
                      <w:hyperlink w:anchor="TOC" w:history="1">
                        <w:r>
                          <w:rPr>
                            <w:rStyle w:val="Hyperlink"/>
                            <w:sz w:val="20"/>
                            <w:szCs w:val="20"/>
                          </w:rPr>
                          <w:t>Bac</w:t>
                        </w:r>
                        <w:r>
                          <w:rPr>
                            <w:rStyle w:val="Hyperlink"/>
                            <w:sz w:val="20"/>
                            <w:szCs w:val="20"/>
                          </w:rPr>
                          <w:t>k</w:t>
                        </w:r>
                        <w:r>
                          <w:rPr>
                            <w:rStyle w:val="Hyperlink"/>
                            <w:sz w:val="20"/>
                            <w:szCs w:val="20"/>
                          </w:rPr>
                          <w:t xml:space="preserve"> to TOC</w:t>
                        </w:r>
                      </w:hyperlink>
                    </w:p>
                  </w:txbxContent>
                </v:textbox>
                <w10:wrap anchorx="margin" anchory="margin"/>
                <w10:anchorlock/>
              </v:shape>
            </w:pict>
          </mc:Fallback>
        </mc:AlternateContent>
      </w:r>
      <w:r w:rsidRPr="00AC4B78">
        <w:rPr>
          <w:rFonts w:cs="Times New Roman"/>
          <w:szCs w:val="24"/>
        </w:rPr>
        <w:t>in their own rules.</w:t>
      </w:r>
    </w:p>
    <w:p w:rsidR="009B2F9B" w:rsidRDefault="009B2F9B" w:rsidP="0081054E">
      <w:pPr>
        <w:autoSpaceDE w:val="0"/>
        <w:autoSpaceDN w:val="0"/>
        <w:adjustRightInd w:val="0"/>
        <w:spacing w:before="200" w:after="0" w:line="240" w:lineRule="auto"/>
        <w:jc w:val="both"/>
        <w:rPr>
          <w:rFonts w:ascii="Times New Roman" w:hAnsi="Times New Roman" w:cs="Times New Roman"/>
          <w:szCs w:val="24"/>
        </w:rPr>
      </w:pPr>
      <w:r w:rsidRPr="00C94148">
        <w:rPr>
          <w:rFonts w:cs="Times New Roman"/>
          <w:szCs w:val="24"/>
        </w:rPr>
        <w:lastRenderedPageBreak/>
        <w:t>OTC has welcomed stakeholder input for all eight of the model rules throughout every stage of the rule development process.  Each OTC model rule workgroup, as well as the entire Stationary and Area Source Committee, received and reviewed written comments from stakeholder groups and carefully considered input from all interested stakeholders during the model rule development process.  The OTC is grateful to those stakeholders who participated in the process, and encourages stakeholder input o</w:t>
      </w:r>
      <w:r w:rsidR="0060782B">
        <w:rPr>
          <w:noProof/>
        </w:rPr>
        <mc:AlternateContent>
          <mc:Choice Requires="wps">
            <w:drawing>
              <wp:anchor distT="0" distB="0" distL="114300" distR="114300" simplePos="0" relativeHeight="251679744" behindDoc="0" locked="1" layoutInCell="1" allowOverlap="0" wp14:anchorId="0FA04AEF" wp14:editId="13675C0A">
                <wp:simplePos x="0" y="0"/>
                <wp:positionH relativeFrom="margin">
                  <wp:posOffset>2695575</wp:posOffset>
                </wp:positionH>
                <wp:positionV relativeFrom="bottomMargin">
                  <wp:posOffset>180340</wp:posOffset>
                </wp:positionV>
                <wp:extent cx="914400" cy="23749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237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782B" w:rsidRDefault="0060782B" w:rsidP="0060782B">
                            <w:pPr>
                              <w:ind w:right="60"/>
                              <w:rPr>
                                <w:rFonts w:asciiTheme="minorHAnsi" w:hAnsiTheme="minorHAnsi"/>
                                <w:sz w:val="20"/>
                                <w:szCs w:val="20"/>
                              </w:rPr>
                            </w:pPr>
                            <w:hyperlink w:anchor="TOC" w:history="1">
                              <w:r>
                                <w:rPr>
                                  <w:rStyle w:val="Hyperlink"/>
                                  <w:sz w:val="20"/>
                                  <w:szCs w:val="20"/>
                                </w:rPr>
                                <w:t>Back to TOC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04AEF" id="Text Box 16" o:spid="_x0000_s1027" type="#_x0000_t202" style="position:absolute;left:0;text-align:left;margin-left:212.25pt;margin-top:14.2pt;width:1in;height:18.7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6AnlgIAAKsFAAAOAAAAZHJzL2Uyb0RvYy54bWysVFFPGzEMfp+0/xDlfVxbCowTV9SBmCZV&#10;gAYTz2kuoRFJnCVp77pfj5O7K4XxwrSXOyf+bMf2Z5+dt0aTjfBBga3o+GBEibAcamUfK/rr/urL&#10;V0pCZLZmGqyo6FYEej77/OmscaWYwAp0LTxBJzaUjavoKkZXFkXgK2FYOAAnLColeMMiHv1jUXvW&#10;oHeji8lodFw04GvngYsQ8PayU9JZ9i+l4PFGyiAi0RXFt8X89fm7TN9idsbKR8/cSvH+GewfXmGY&#10;shh05+qSRUbWXv3lyijuIYCMBxxMAVIqLnIOmM149CabuxVzIueCxQluV6bw/9zy682tJ6rG3h1T&#10;YpnBHt2LNpJv0BK8wvo0LpQIu3MIjC3eIzbnGtwC+FNASLGH6QwColM9WulN+mOmBA2xBdtd2VMY&#10;jpen4+l0hBqOqsnhyfQ0t6V4MXY+xO8CDElCRT12NT+AbRYhpvCsHCApVgCt6iuldT4kJokL7cmG&#10;IQd0HKec0OIVSlvSVPT48GiUHVtI5h1O2+RGZC714VK2XYJZilstEkbbn0JiLXOe78RmnAu7i5/R&#10;CSUx1EcMe/zLqz5i3OWBFjky2LgzNsqC7/r6umT101Ay2eH7focu71SC2C7bTKKjgTBLqLfIFw/d&#10;xAXHrxQ2b8FCvGUeRwz7jWsj3uBHasDiQy9RsgL/5737hEfmo5aSBke2ouH3mnlBif5hcSYyj3DG&#10;82F6dDLBGH5fs9zX2LW5AGTEGBeU41lM+KgHUXowD7hd5ikqqpjlGLuicRAvYrdIcDtxMZ9nEE61&#10;Y3Fh7xwfxiRR8759YN71/I1I/GsYhpuVb2jcYVN/LMzXEaTKHE917qra1x83QiZyv73Sytk/Z9TL&#10;jp09AwAA//8DAFBLAwQUAAYACAAAACEAvHyHU98AAAAJAQAADwAAAGRycy9kb3ducmV2LnhtbEyP&#10;wW6DMAyG75P2DpEr7VKtoQgQYphqmlapPfQwuktvKfEAlTiIpC17+2Wn7Wj70+/vLzezGcSNJtdb&#10;RlivIhDEjdU9twifx+1zDsJ5xVoNlgnhmxxsqseHUhXa3vmDbrVvRQhhVyiEzvuxkNI1HRnlVnYk&#10;DrcvOxnlwzi1Uk/qHsLNIOMoyqRRPYcPnRrpraPmUl8NwsGddsvTtNsua6flnujwvl97xKfF/PoC&#10;wtPs/2D41Q/qUAWns72ydmJASOIkDShCnCcgApBmeVicEbI0B1mV8n+D6gcAAP//AwBQSwECLQAU&#10;AAYACAAAACEAtoM4kv4AAADhAQAAEwAAAAAAAAAAAAAAAAAAAAAAW0NvbnRlbnRfVHlwZXNdLnht&#10;bFBLAQItABQABgAIAAAAIQA4/SH/1gAAAJQBAAALAAAAAAAAAAAAAAAAAC8BAABfcmVscy8ucmVs&#10;c1BLAQItABQABgAIAAAAIQBFz6AnlgIAAKsFAAAOAAAAAAAAAAAAAAAAAC4CAABkcnMvZTJvRG9j&#10;LnhtbFBLAQItABQABgAIAAAAIQC8fIdT3wAAAAkBAAAPAAAAAAAAAAAAAAAAAPAEAABkcnMvZG93&#10;bnJldi54bWxQSwUGAAAAAAQABADzAAAA/AUAAAAA&#10;" o:allowoverlap="f" fillcolor="white [3201]" stroked="f" strokeweight=".5pt">
                <v:path arrowok="t"/>
                <v:textbox>
                  <w:txbxContent>
                    <w:p w:rsidR="0060782B" w:rsidRDefault="0060782B" w:rsidP="0060782B">
                      <w:pPr>
                        <w:ind w:right="60"/>
                        <w:rPr>
                          <w:rFonts w:asciiTheme="minorHAnsi" w:hAnsiTheme="minorHAnsi"/>
                          <w:sz w:val="20"/>
                          <w:szCs w:val="20"/>
                        </w:rPr>
                      </w:pPr>
                      <w:hyperlink w:anchor="TOC" w:history="1">
                        <w:r>
                          <w:rPr>
                            <w:rStyle w:val="Hyperlink"/>
                            <w:sz w:val="20"/>
                            <w:szCs w:val="20"/>
                          </w:rPr>
                          <w:t>Back to TOC</w:t>
                        </w:r>
                      </w:hyperlink>
                    </w:p>
                  </w:txbxContent>
                </v:textbox>
                <w10:wrap anchorx="margin" anchory="margin"/>
                <w10:anchorlock/>
              </v:shape>
            </w:pict>
          </mc:Fallback>
        </mc:AlternateContent>
      </w:r>
      <w:r w:rsidRPr="00C94148">
        <w:rPr>
          <w:rFonts w:cs="Times New Roman"/>
          <w:szCs w:val="24"/>
        </w:rPr>
        <w:t>n all future OTC-wide efforts.</w:t>
      </w:r>
    </w:p>
    <w:p w:rsidR="009B2F9B" w:rsidRDefault="009B2F9B" w:rsidP="0081054E">
      <w:pPr>
        <w:spacing w:line="240" w:lineRule="auto"/>
        <w:sectPr w:rsidR="009B2F9B" w:rsidSect="00A475FE">
          <w:headerReference w:type="default" r:id="rId8"/>
          <w:footerReference w:type="default" r:id="rId9"/>
          <w:pgSz w:w="12240" w:h="15840"/>
          <w:pgMar w:top="1440" w:right="1440" w:bottom="1440" w:left="1440" w:header="720" w:footer="720" w:gutter="0"/>
          <w:cols w:space="720"/>
          <w:titlePg/>
          <w:docGrid w:linePitch="360"/>
        </w:sectPr>
      </w:pPr>
    </w:p>
    <w:p w:rsidR="0084709A" w:rsidRDefault="00B31F10" w:rsidP="00B31F10">
      <w:pPr>
        <w:pStyle w:val="Heading1"/>
      </w:pPr>
      <w:bookmarkStart w:id="11" w:name="_Toc461025601"/>
      <w:bookmarkStart w:id="12" w:name="_Toc461025814"/>
      <w:bookmarkStart w:id="13" w:name="_Toc461027080"/>
      <w:r>
        <w:lastRenderedPageBreak/>
        <w:t>2</w:t>
      </w:r>
      <w:r w:rsidR="0084709A">
        <w:t>.0</w:t>
      </w:r>
      <w:r w:rsidR="0084709A">
        <w:tab/>
        <w:t>VOLATILE ORGANIC COMPOUND (VOC) ANALYSIS METHODS</w:t>
      </w:r>
      <w:bookmarkEnd w:id="11"/>
      <w:bookmarkEnd w:id="12"/>
      <w:bookmarkEnd w:id="13"/>
    </w:p>
    <w:p w:rsidR="0084709A" w:rsidRDefault="0084709A" w:rsidP="0084709A">
      <w:pPr>
        <w:autoSpaceDE w:val="0"/>
        <w:autoSpaceDN w:val="0"/>
        <w:adjustRightInd w:val="0"/>
        <w:spacing w:after="120"/>
        <w:rPr>
          <w:rFonts w:asciiTheme="minorHAnsi" w:hAnsiTheme="minorHAnsi"/>
        </w:rPr>
      </w:pPr>
      <w:r>
        <w:rPr>
          <w:rFonts w:asciiTheme="minorHAnsi" w:hAnsiTheme="minorHAnsi"/>
        </w:rPr>
        <w:t xml:space="preserve">This Section summarizes OTC control measures from 2009 to 2014 to reduce VOC emissions from five source categories: </w:t>
      </w:r>
    </w:p>
    <w:p w:rsidR="0084709A" w:rsidRDefault="0084709A" w:rsidP="0084709A">
      <w:pPr>
        <w:pStyle w:val="ListParagraph"/>
        <w:numPr>
          <w:ilvl w:val="0"/>
          <w:numId w:val="25"/>
        </w:numPr>
        <w:autoSpaceDE w:val="0"/>
        <w:autoSpaceDN w:val="0"/>
        <w:adjustRightInd w:val="0"/>
        <w:spacing w:after="0" w:line="240" w:lineRule="auto"/>
      </w:pPr>
      <w:r>
        <w:t>Stationary Above Ground Storage Tanks</w:t>
      </w:r>
    </w:p>
    <w:p w:rsidR="0084709A" w:rsidRDefault="0084709A" w:rsidP="0084709A">
      <w:pPr>
        <w:pStyle w:val="ListParagraph"/>
        <w:numPr>
          <w:ilvl w:val="0"/>
          <w:numId w:val="25"/>
        </w:numPr>
        <w:autoSpaceDE w:val="0"/>
        <w:autoSpaceDN w:val="0"/>
        <w:adjustRightInd w:val="0"/>
        <w:spacing w:after="0" w:line="240" w:lineRule="auto"/>
      </w:pPr>
      <w:r>
        <w:t>Consumer Products</w:t>
      </w:r>
    </w:p>
    <w:p w:rsidR="0084709A" w:rsidRDefault="0084709A" w:rsidP="0084709A">
      <w:pPr>
        <w:pStyle w:val="ListParagraph"/>
        <w:numPr>
          <w:ilvl w:val="0"/>
          <w:numId w:val="25"/>
        </w:numPr>
        <w:autoSpaceDE w:val="0"/>
        <w:autoSpaceDN w:val="0"/>
        <w:adjustRightInd w:val="0"/>
        <w:spacing w:after="0" w:line="240" w:lineRule="auto"/>
      </w:pPr>
      <w:r>
        <w:rPr>
          <w:rStyle w:val="apple-style-span"/>
          <w:color w:val="000000"/>
        </w:rPr>
        <w:t>Motor Vehicle and</w:t>
      </w:r>
      <w:r>
        <w:rPr>
          <w:rStyle w:val="apple-converted-space"/>
          <w:color w:val="000000"/>
        </w:rPr>
        <w:t xml:space="preserve"> </w:t>
      </w:r>
      <w:r>
        <w:rPr>
          <w:rStyle w:val="apple-style-span"/>
          <w:color w:val="000000"/>
        </w:rPr>
        <w:t>Mobile</w:t>
      </w:r>
      <w:r>
        <w:rPr>
          <w:rStyle w:val="apple-converted-space"/>
          <w:color w:val="000000"/>
        </w:rPr>
        <w:t xml:space="preserve"> </w:t>
      </w:r>
      <w:r>
        <w:rPr>
          <w:rStyle w:val="apple-style-span"/>
          <w:color w:val="000000"/>
        </w:rPr>
        <w:t>Equipment Non-assembly Line Coating Operations</w:t>
      </w:r>
      <w:r>
        <w:t xml:space="preserve"> </w:t>
      </w:r>
    </w:p>
    <w:p w:rsidR="0084709A" w:rsidRDefault="0084709A" w:rsidP="0084709A">
      <w:pPr>
        <w:pStyle w:val="ListParagraph"/>
        <w:numPr>
          <w:ilvl w:val="0"/>
          <w:numId w:val="25"/>
        </w:numPr>
        <w:autoSpaceDE w:val="0"/>
        <w:autoSpaceDN w:val="0"/>
        <w:adjustRightInd w:val="0"/>
        <w:spacing w:after="0" w:line="240" w:lineRule="auto"/>
      </w:pPr>
      <w:r>
        <w:t xml:space="preserve">Architectural, Industrial and Maintenance Coatings. </w:t>
      </w:r>
    </w:p>
    <w:p w:rsidR="0084709A" w:rsidRDefault="0084709A" w:rsidP="0084709A">
      <w:pPr>
        <w:pStyle w:val="ListParagraph"/>
        <w:numPr>
          <w:ilvl w:val="0"/>
          <w:numId w:val="25"/>
        </w:numPr>
        <w:autoSpaceDE w:val="0"/>
        <w:autoSpaceDN w:val="0"/>
        <w:adjustRightInd w:val="0"/>
        <w:spacing w:after="120" w:line="240" w:lineRule="auto"/>
      </w:pPr>
      <w:r>
        <w:t>Solvent Degreasing</w:t>
      </w:r>
    </w:p>
    <w:p w:rsidR="0084709A" w:rsidRDefault="0084709A" w:rsidP="0084709A">
      <w:pPr>
        <w:autoSpaceDE w:val="0"/>
        <w:autoSpaceDN w:val="0"/>
        <w:adjustRightInd w:val="0"/>
        <w:jc w:val="both"/>
        <w:rPr>
          <w:rFonts w:asciiTheme="minorHAnsi" w:hAnsiTheme="minorHAnsi"/>
        </w:rPr>
      </w:pPr>
      <w:r>
        <w:rPr>
          <w:rFonts w:asciiTheme="minorHAnsi" w:hAnsiTheme="minorHAnsi"/>
        </w:rPr>
        <w:t xml:space="preserve">The existing federal and state rules, requirements of the model OTC control measures, and the methods used to quantify emissions reduction benefits for each of the above categories are described and discussed in separate subsections. These summaries provide an estimate of the anticipated costs of the control measures and identify other emissions reduction benefits. </w:t>
      </w:r>
    </w:p>
    <w:p w:rsidR="0084709A" w:rsidRDefault="00B31F10" w:rsidP="00B31F10">
      <w:pPr>
        <w:pStyle w:val="Heading2"/>
      </w:pPr>
      <w:bookmarkStart w:id="14" w:name="_Toc459898980"/>
      <w:bookmarkStart w:id="15" w:name="_Toc461020938"/>
      <w:bookmarkStart w:id="16" w:name="_Toc461025602"/>
      <w:bookmarkStart w:id="17" w:name="_Toc461025815"/>
      <w:bookmarkStart w:id="18" w:name="_Toc461027081"/>
      <w:r>
        <w:t>2</w:t>
      </w:r>
      <w:r w:rsidR="0084709A">
        <w:t>.1</w:t>
      </w:r>
      <w:r w:rsidR="0084709A">
        <w:tab/>
        <w:t xml:space="preserve">Stationary Above </w:t>
      </w:r>
      <w:r w:rsidR="0084709A">
        <w:rPr>
          <w:szCs w:val="28"/>
        </w:rPr>
        <w:t>Ground</w:t>
      </w:r>
      <w:r w:rsidR="0084709A">
        <w:t xml:space="preserve"> Storage Tanks</w:t>
      </w:r>
      <w:bookmarkEnd w:id="14"/>
      <w:bookmarkEnd w:id="15"/>
      <w:bookmarkEnd w:id="16"/>
      <w:bookmarkEnd w:id="17"/>
      <w:bookmarkEnd w:id="18"/>
    </w:p>
    <w:p w:rsidR="0084709A" w:rsidRDefault="0084709A" w:rsidP="0084709A">
      <w:pPr>
        <w:pStyle w:val="NoSpacing"/>
        <w:spacing w:after="60"/>
        <w:jc w:val="both"/>
        <w:rPr>
          <w:rFonts w:asciiTheme="minorHAnsi" w:hAnsiTheme="minorHAnsi"/>
        </w:rPr>
      </w:pPr>
      <w:r>
        <w:rPr>
          <w:rFonts w:asciiTheme="minorHAnsi" w:hAnsiTheme="minorHAnsi"/>
          <w:snapToGrid w:val="0"/>
        </w:rPr>
        <w:t xml:space="preserve">The OTC model rule addresses high vapor pressure </w:t>
      </w:r>
      <w:r>
        <w:rPr>
          <w:rFonts w:asciiTheme="minorHAnsi" w:hAnsiTheme="minorHAnsi"/>
          <w:color w:val="000000"/>
        </w:rPr>
        <w:t>volatile organic compounds (VOCs)</w:t>
      </w:r>
      <w:r>
        <w:rPr>
          <w:rFonts w:asciiTheme="minorHAnsi" w:hAnsiTheme="minorHAnsi"/>
          <w:snapToGrid w:val="0"/>
        </w:rPr>
        <w:t>, such as gasoline,</w:t>
      </w:r>
      <w:r>
        <w:rPr>
          <w:rFonts w:asciiTheme="minorHAnsi" w:hAnsiTheme="minorHAnsi"/>
          <w:color w:val="000000"/>
        </w:rPr>
        <w:t xml:space="preserve"> stored in large aboveground stationary storage tanks, which </w:t>
      </w:r>
      <w:r>
        <w:rPr>
          <w:rFonts w:asciiTheme="minorHAnsi" w:hAnsiTheme="minorHAnsi"/>
          <w:snapToGrid w:val="0"/>
        </w:rPr>
        <w:t xml:space="preserve">are typically located at </w:t>
      </w:r>
      <w:r>
        <w:rPr>
          <w:rFonts w:asciiTheme="minorHAnsi" w:hAnsiTheme="minorHAnsi"/>
          <w:color w:val="000000"/>
        </w:rPr>
        <w:t xml:space="preserve">refineries, terminals and pipeline breakout stations.  </w:t>
      </w:r>
      <w:r>
        <w:rPr>
          <w:rFonts w:asciiTheme="minorHAnsi" w:hAnsiTheme="minorHAnsi"/>
        </w:rPr>
        <w:t>On June 3, 2010, the OTC adopted a Resolution wherein member states agreed to pursue, as necessary and appropriate, state-specific rulemakings to update state rules in accordance with the 2009 OTC Stationary Above Ground Storage Tanks Model Rule.</w:t>
      </w:r>
    </w:p>
    <w:p w:rsidR="0084709A" w:rsidRDefault="0084709A" w:rsidP="0084709A">
      <w:pPr>
        <w:pStyle w:val="NoSpacing"/>
        <w:spacing w:after="60"/>
        <w:rPr>
          <w:rFonts w:asciiTheme="minorHAnsi" w:hAnsiTheme="minorHAnsi"/>
        </w:rPr>
      </w:pPr>
      <w:r>
        <w:rPr>
          <w:rFonts w:asciiTheme="minorHAnsi" w:hAnsiTheme="minorHAnsi"/>
        </w:rPr>
        <w:t>The available control measures can be grouped into five categories as described below:</w:t>
      </w:r>
    </w:p>
    <w:p w:rsidR="0084709A" w:rsidRDefault="0084709A" w:rsidP="0084709A">
      <w:pPr>
        <w:pStyle w:val="NoSpacing"/>
        <w:numPr>
          <w:ilvl w:val="0"/>
          <w:numId w:val="26"/>
        </w:numPr>
        <w:ind w:left="540" w:hanging="180"/>
        <w:rPr>
          <w:rFonts w:asciiTheme="minorHAnsi" w:hAnsiTheme="minorHAnsi"/>
          <w:b/>
        </w:rPr>
      </w:pPr>
      <w:r>
        <w:rPr>
          <w:rFonts w:asciiTheme="minorHAnsi" w:hAnsiTheme="minorHAnsi"/>
          <w:b/>
        </w:rPr>
        <w:t>Deck fittings</w:t>
      </w:r>
      <w:r>
        <w:rPr>
          <w:rFonts w:asciiTheme="minorHAnsi" w:hAnsiTheme="minorHAnsi"/>
        </w:rPr>
        <w:t>:</w:t>
      </w:r>
      <w:r>
        <w:rPr>
          <w:rFonts w:asciiTheme="minorHAnsi" w:hAnsiTheme="minorHAnsi"/>
          <w:color w:val="000000"/>
        </w:rPr>
        <w:t xml:space="preserve"> </w:t>
      </w:r>
    </w:p>
    <w:p w:rsidR="0084709A" w:rsidRDefault="0084709A" w:rsidP="0084709A">
      <w:pPr>
        <w:pStyle w:val="NoSpacing"/>
        <w:numPr>
          <w:ilvl w:val="0"/>
          <w:numId w:val="27"/>
        </w:numPr>
        <w:tabs>
          <w:tab w:val="left" w:pos="720"/>
        </w:tabs>
        <w:ind w:left="720" w:hanging="180"/>
        <w:jc w:val="both"/>
        <w:rPr>
          <w:rFonts w:asciiTheme="minorHAnsi" w:hAnsiTheme="minorHAnsi"/>
          <w:color w:val="000000"/>
        </w:rPr>
      </w:pPr>
      <w:r>
        <w:rPr>
          <w:rFonts w:asciiTheme="minorHAnsi" w:hAnsiTheme="minorHAnsi"/>
          <w:color w:val="000000"/>
          <w:u w:val="single"/>
        </w:rPr>
        <w:t>Losses</w:t>
      </w:r>
      <w:r>
        <w:rPr>
          <w:rFonts w:asciiTheme="minorHAnsi" w:hAnsiTheme="minorHAnsi"/>
          <w:color w:val="000000"/>
        </w:rPr>
        <w:t xml:space="preserve">: Evaporative losses can occur from deck fittings, particularly slotted guidepoles, and rim seal systems. </w:t>
      </w:r>
    </w:p>
    <w:p w:rsidR="0084709A" w:rsidRDefault="0084709A" w:rsidP="0084709A">
      <w:pPr>
        <w:pStyle w:val="NoSpacing"/>
        <w:numPr>
          <w:ilvl w:val="0"/>
          <w:numId w:val="27"/>
        </w:numPr>
        <w:tabs>
          <w:tab w:val="left" w:pos="720"/>
        </w:tabs>
        <w:spacing w:after="60"/>
        <w:ind w:left="734" w:hanging="187"/>
        <w:jc w:val="both"/>
        <w:rPr>
          <w:rFonts w:asciiTheme="minorHAnsi" w:hAnsiTheme="minorHAnsi"/>
          <w:b/>
        </w:rPr>
      </w:pPr>
      <w:r>
        <w:rPr>
          <w:rFonts w:asciiTheme="minorHAnsi" w:hAnsiTheme="minorHAnsi"/>
          <w:color w:val="000000"/>
          <w:u w:val="single"/>
        </w:rPr>
        <w:t>Control measures</w:t>
      </w:r>
      <w:r>
        <w:rPr>
          <w:rFonts w:asciiTheme="minorHAnsi" w:hAnsiTheme="minorHAnsi"/>
          <w:color w:val="000000"/>
        </w:rPr>
        <w:t xml:space="preserve">: include </w:t>
      </w:r>
      <w:r>
        <w:rPr>
          <w:rFonts w:asciiTheme="minorHAnsi" w:hAnsiTheme="minorHAnsi"/>
        </w:rPr>
        <w:t>gasketing deck fittings, installing pole sleeves and floats on slotted guidepoles, and gap requirements for rim seals.</w:t>
      </w:r>
    </w:p>
    <w:p w:rsidR="0084709A" w:rsidRDefault="0084709A" w:rsidP="0084709A">
      <w:pPr>
        <w:pStyle w:val="NoSpacing"/>
        <w:numPr>
          <w:ilvl w:val="0"/>
          <w:numId w:val="26"/>
        </w:numPr>
        <w:tabs>
          <w:tab w:val="left" w:pos="720"/>
        </w:tabs>
        <w:ind w:left="547" w:hanging="187"/>
        <w:jc w:val="both"/>
        <w:rPr>
          <w:rFonts w:asciiTheme="minorHAnsi" w:hAnsiTheme="minorHAnsi"/>
        </w:rPr>
      </w:pPr>
      <w:r>
        <w:rPr>
          <w:rFonts w:asciiTheme="minorHAnsi" w:hAnsiTheme="minorHAnsi"/>
          <w:b/>
        </w:rPr>
        <w:t>Domes:</w:t>
      </w:r>
      <w:r>
        <w:rPr>
          <w:rFonts w:asciiTheme="minorHAnsi" w:hAnsiTheme="minorHAnsi"/>
          <w:color w:val="000000"/>
        </w:rPr>
        <w:t xml:space="preserve"> </w:t>
      </w:r>
    </w:p>
    <w:p w:rsidR="0084709A" w:rsidRDefault="0084709A" w:rsidP="0084709A">
      <w:pPr>
        <w:pStyle w:val="NoSpacing"/>
        <w:numPr>
          <w:ilvl w:val="0"/>
          <w:numId w:val="28"/>
        </w:numPr>
        <w:tabs>
          <w:tab w:val="left" w:pos="720"/>
        </w:tabs>
        <w:ind w:left="720" w:hanging="180"/>
        <w:jc w:val="both"/>
        <w:rPr>
          <w:rFonts w:asciiTheme="minorHAnsi" w:hAnsiTheme="minorHAnsi"/>
          <w:color w:val="000000"/>
        </w:rPr>
      </w:pPr>
      <w:r>
        <w:rPr>
          <w:rFonts w:asciiTheme="minorHAnsi" w:hAnsiTheme="minorHAnsi"/>
          <w:color w:val="000000"/>
          <w:u w:val="single"/>
        </w:rPr>
        <w:t>Losses</w:t>
      </w:r>
      <w:r>
        <w:rPr>
          <w:rFonts w:asciiTheme="minorHAnsi" w:hAnsiTheme="minorHAnsi"/>
          <w:color w:val="000000"/>
        </w:rPr>
        <w:t xml:space="preserve">: Wind blowing across external floating roof tanks causes evaporative losses.  </w:t>
      </w:r>
    </w:p>
    <w:p w:rsidR="0084709A" w:rsidRDefault="0084709A" w:rsidP="0084709A">
      <w:pPr>
        <w:pStyle w:val="NoSpacing"/>
        <w:numPr>
          <w:ilvl w:val="0"/>
          <w:numId w:val="28"/>
        </w:numPr>
        <w:tabs>
          <w:tab w:val="left" w:pos="720"/>
        </w:tabs>
        <w:spacing w:after="60"/>
        <w:ind w:left="734" w:hanging="187"/>
        <w:jc w:val="both"/>
        <w:rPr>
          <w:rFonts w:asciiTheme="minorHAnsi" w:hAnsiTheme="minorHAnsi"/>
        </w:rPr>
      </w:pPr>
      <w:r>
        <w:rPr>
          <w:rFonts w:asciiTheme="minorHAnsi" w:hAnsiTheme="minorHAnsi"/>
          <w:color w:val="000000"/>
          <w:u w:val="single"/>
        </w:rPr>
        <w:t>Control measures</w:t>
      </w:r>
      <w:r>
        <w:rPr>
          <w:rFonts w:asciiTheme="minorHAnsi" w:hAnsiTheme="minorHAnsi"/>
          <w:color w:val="000000"/>
        </w:rPr>
        <w:t>: proposed measure is to i</w:t>
      </w:r>
      <w:r>
        <w:rPr>
          <w:rFonts w:asciiTheme="minorHAnsi" w:hAnsiTheme="minorHAnsi"/>
        </w:rPr>
        <w:t>nstall domes on external floating roof tanks that have contents with vapor pressure greater than 3 psia at 70</w:t>
      </w:r>
      <w:r>
        <w:rPr>
          <w:rFonts w:asciiTheme="minorHAnsi" w:hAnsiTheme="minorHAnsi"/>
          <w:vertAlign w:val="superscript"/>
        </w:rPr>
        <w:t>o</w:t>
      </w:r>
      <w:r>
        <w:rPr>
          <w:rFonts w:asciiTheme="minorHAnsi" w:hAnsiTheme="minorHAnsi"/>
        </w:rPr>
        <w:t xml:space="preserve"> F, excluding crude oil, slop oil, and wastewater.</w:t>
      </w:r>
    </w:p>
    <w:p w:rsidR="0084709A" w:rsidRDefault="0084709A" w:rsidP="0084709A">
      <w:pPr>
        <w:pStyle w:val="NoSpacing"/>
        <w:numPr>
          <w:ilvl w:val="0"/>
          <w:numId w:val="26"/>
        </w:numPr>
        <w:ind w:left="547" w:hanging="187"/>
        <w:jc w:val="both"/>
        <w:rPr>
          <w:rFonts w:asciiTheme="minorHAnsi" w:hAnsiTheme="minorHAnsi"/>
        </w:rPr>
      </w:pPr>
      <w:r>
        <w:rPr>
          <w:rFonts w:asciiTheme="minorHAnsi" w:hAnsiTheme="minorHAnsi"/>
          <w:b/>
        </w:rPr>
        <w:t>Roof landing Controls:</w:t>
      </w:r>
      <w:r>
        <w:rPr>
          <w:rFonts w:asciiTheme="minorHAnsi" w:hAnsiTheme="minorHAnsi"/>
          <w:color w:val="000000"/>
        </w:rPr>
        <w:t xml:space="preserve"> </w:t>
      </w:r>
    </w:p>
    <w:p w:rsidR="0084709A" w:rsidRDefault="0084709A" w:rsidP="0084709A">
      <w:pPr>
        <w:pStyle w:val="NoSpacing"/>
        <w:numPr>
          <w:ilvl w:val="0"/>
          <w:numId w:val="29"/>
        </w:numPr>
        <w:tabs>
          <w:tab w:val="left" w:pos="720"/>
        </w:tabs>
        <w:ind w:left="720" w:hanging="180"/>
        <w:jc w:val="both"/>
        <w:rPr>
          <w:rFonts w:asciiTheme="minorHAnsi" w:hAnsiTheme="minorHAnsi"/>
          <w:color w:val="000000"/>
        </w:rPr>
      </w:pPr>
      <w:r>
        <w:rPr>
          <w:rFonts w:asciiTheme="minorHAnsi" w:hAnsiTheme="minorHAnsi"/>
          <w:color w:val="000000"/>
          <w:u w:val="single"/>
        </w:rPr>
        <w:t>Losses</w:t>
      </w:r>
      <w:r>
        <w:rPr>
          <w:rFonts w:asciiTheme="minorHAnsi" w:hAnsiTheme="minorHAnsi"/>
          <w:color w:val="000000"/>
        </w:rPr>
        <w:t xml:space="preserve">: When enough liquid is removed from a floating roof tank such that the roof is lowered to the height at which it is lowered no further (i.e., the roof rests on its legs or suspended by cables or hangers), the contact between the floating roof and the liquid VOC is broken as the remaining liquid is removed.  This is referred to as a “roof landing.”  A vapor space is created between the floating roof and the liquid surface, which enables vapors from the VOC remaining in the tank to accumulate.  These vapors escape from the vapor space as the tank is sitting idle and when they are displaced during refilling.  Also, some of the liquid VOC being used to refill the tank may evaporate and be expelled from the tank during refilling. For gasoline storage tanks, emissions generally range from 0.25 tons to 3 tons or more per roof landing. </w:t>
      </w:r>
      <w:r w:rsidR="0060782B">
        <w:rPr>
          <w:noProof/>
        </w:rPr>
        <mc:AlternateContent>
          <mc:Choice Requires="wps">
            <w:drawing>
              <wp:anchor distT="0" distB="0" distL="114300" distR="114300" simplePos="0" relativeHeight="251681792" behindDoc="0" locked="1" layoutInCell="1" allowOverlap="0" wp14:anchorId="37F0C09B" wp14:editId="2A19CA42">
                <wp:simplePos x="0" y="0"/>
                <wp:positionH relativeFrom="margin">
                  <wp:posOffset>2962275</wp:posOffset>
                </wp:positionH>
                <wp:positionV relativeFrom="bottomMargin">
                  <wp:posOffset>189865</wp:posOffset>
                </wp:positionV>
                <wp:extent cx="914400" cy="23749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237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782B" w:rsidRDefault="0060782B" w:rsidP="0060782B">
                            <w:pPr>
                              <w:ind w:right="60"/>
                              <w:rPr>
                                <w:rFonts w:asciiTheme="minorHAnsi" w:hAnsiTheme="minorHAnsi"/>
                                <w:sz w:val="20"/>
                                <w:szCs w:val="20"/>
                              </w:rPr>
                            </w:pPr>
                            <w:hyperlink w:anchor="TOC" w:history="1">
                              <w:r>
                                <w:rPr>
                                  <w:rStyle w:val="Hyperlink"/>
                                  <w:sz w:val="20"/>
                                  <w:szCs w:val="20"/>
                                </w:rPr>
                                <w:t>Back to TOC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0C09B" id="Text Box 17" o:spid="_x0000_s1028" type="#_x0000_t202" style="position:absolute;left:0;text-align:left;margin-left:233.25pt;margin-top:14.95pt;width:1in;height:18.7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qZSlgIAAKsFAAAOAAAAZHJzL2Uyb0RvYy54bWysVFFPGzEMfp+0/xDlfVxbCowTV9SBmCZV&#10;gAYTz2kuoRFJnCVp77pfj5O7K4XxwrSXOyf+bMf2Z5+dt0aTjfBBga3o+GBEibAcamUfK/rr/urL&#10;V0pCZLZmGqyo6FYEej77/OmscaWYwAp0LTxBJzaUjavoKkZXFkXgK2FYOAAnLColeMMiHv1jUXvW&#10;oHeji8lodFw04GvngYsQ8PayU9JZ9i+l4PFGyiAi0RXFt8X89fm7TN9idsbKR8/cSvH+GewfXmGY&#10;shh05+qSRUbWXv3lyijuIYCMBxxMAVIqLnIOmM149CabuxVzIueCxQluV6bw/9zy682tJ6rG3p1Q&#10;YpnBHt2LNpJv0BK8wvo0LpQIu3MIjC3eIzbnGtwC+FNASLGH6QwColM9WulN+mOmBA2xBdtd2VMY&#10;jpen4+l0hBqOqsnhyfQ0t6V4MXY+xO8CDElCRT12NT+AbRYhpvCsHCApVgCt6iuldT4kJokL7cmG&#10;IQd0HKec0OIVSlvSVPT48GiUHVtI5h1O2+RGZC714VK2XYJZilstEkbbn0JiLXOe78RmnAu7i5/R&#10;CSUx1EcMe/zLqz5i3OWBFjky2LgzNsqC7/r6umT101Ay2eH7focu71SC2C7bTKLjgTBLqLfIFw/d&#10;xAXHrxQ2b8FCvGUeRwz7jWsj3uBHasDiQy9RsgL/5737hEfmo5aSBke2ouH3mnlBif5hcSYyj3DG&#10;82F6dDLBGH5fs9zX2LW5AGTEGBeU41lM+KgHUXowD7hd5ikqqpjlGLuicRAvYrdIcDtxMZ9nEE61&#10;Y3Fh7xwfxiRR8759YN71/I1I/GsYhpuVb2jcYVN/LMzXEaTKHE917qra1x83QiZyv73Sytk/Z9TL&#10;jp09AwAA//8DAFBLAwQUAAYACAAAACEAtkGsbd8AAAAJAQAADwAAAGRycy9kb3ducmV2LnhtbEyP&#10;PU/DMBCG90r8B+uQWCrqpJTQhjgVQlRqhw4Elm5ufE0i4nNku2349xwTbPfx6L3nivVoe3FBHzpH&#10;CtJZAgKpdqajRsHnx+Z+CSJETUb3jlDBNwZYlzeTQufGXekdL1VsBIdQyLWCNsYhlzLULVodZm5A&#10;4t3Jeasjt76Rxusrh9tezpMkk1Z3xBdaPeBri/VXdbYK9uGwnR78djOtgpE7xP3bLo1K3d2OL88g&#10;Io7xD4ZffVaHkp2O7kwmiF7BIsseGVUwX61AMJClCQ+OXDw9gCwL+f+D8gcAAP//AwBQSwECLQAU&#10;AAYACAAAACEAtoM4kv4AAADhAQAAEwAAAAAAAAAAAAAAAAAAAAAAW0NvbnRlbnRfVHlwZXNdLnht&#10;bFBLAQItABQABgAIAAAAIQA4/SH/1gAAAJQBAAALAAAAAAAAAAAAAAAAAC8BAABfcmVscy8ucmVs&#10;c1BLAQItABQABgAIAAAAIQBrVqZSlgIAAKsFAAAOAAAAAAAAAAAAAAAAAC4CAABkcnMvZTJvRG9j&#10;LnhtbFBLAQItABQABgAIAAAAIQC2Qaxt3wAAAAkBAAAPAAAAAAAAAAAAAAAAAPAEAABkcnMvZG93&#10;bnJldi54bWxQSwUGAAAAAAQABADzAAAA/AUAAAAA&#10;" o:allowoverlap="f" fillcolor="white [3201]" stroked="f" strokeweight=".5pt">
                <v:path arrowok="t"/>
                <v:textbox>
                  <w:txbxContent>
                    <w:p w:rsidR="0060782B" w:rsidRDefault="0060782B" w:rsidP="0060782B">
                      <w:pPr>
                        <w:ind w:right="60"/>
                        <w:rPr>
                          <w:rFonts w:asciiTheme="minorHAnsi" w:hAnsiTheme="minorHAnsi"/>
                          <w:sz w:val="20"/>
                          <w:szCs w:val="20"/>
                        </w:rPr>
                      </w:pPr>
                      <w:hyperlink w:anchor="TOC" w:history="1">
                        <w:r>
                          <w:rPr>
                            <w:rStyle w:val="Hyperlink"/>
                            <w:sz w:val="20"/>
                            <w:szCs w:val="20"/>
                          </w:rPr>
                          <w:t>Back to TOC</w:t>
                        </w:r>
                      </w:hyperlink>
                    </w:p>
                  </w:txbxContent>
                </v:textbox>
                <w10:wrap anchorx="margin" anchory="margin"/>
                <w10:anchorlock/>
              </v:shape>
            </w:pict>
          </mc:Fallback>
        </mc:AlternateContent>
      </w:r>
    </w:p>
    <w:p w:rsidR="0084709A" w:rsidRDefault="0084709A" w:rsidP="0084709A">
      <w:pPr>
        <w:pStyle w:val="NoSpacing"/>
        <w:numPr>
          <w:ilvl w:val="0"/>
          <w:numId w:val="29"/>
        </w:numPr>
        <w:tabs>
          <w:tab w:val="left" w:pos="720"/>
        </w:tabs>
        <w:spacing w:after="60"/>
        <w:ind w:left="734" w:hanging="187"/>
        <w:jc w:val="both"/>
        <w:rPr>
          <w:rFonts w:asciiTheme="minorHAnsi" w:hAnsiTheme="minorHAnsi"/>
        </w:rPr>
      </w:pPr>
      <w:r>
        <w:rPr>
          <w:rFonts w:asciiTheme="minorHAnsi" w:hAnsiTheme="minorHAnsi"/>
          <w:color w:val="000000"/>
          <w:u w:val="single"/>
        </w:rPr>
        <w:lastRenderedPageBreak/>
        <w:t>Control measures</w:t>
      </w:r>
      <w:r>
        <w:rPr>
          <w:rFonts w:asciiTheme="minorHAnsi" w:hAnsiTheme="minorHAnsi"/>
          <w:color w:val="000000"/>
        </w:rPr>
        <w:t>: Options include requiring use of l</w:t>
      </w:r>
      <w:r>
        <w:rPr>
          <w:rFonts w:asciiTheme="minorHAnsi" w:hAnsiTheme="minorHAnsi"/>
        </w:rPr>
        <w:t>owest lander height setting for in-service roof landings (to minimize the vapor space) and, for tanks with landing emissions over 5 tons/year, installation of vapor recovery/control for use when roof is landed or modifying the tank to reduce the landed height to less than one foot (implemented over 10-year period).</w:t>
      </w:r>
    </w:p>
    <w:p w:rsidR="0084709A" w:rsidRDefault="0084709A" w:rsidP="0084709A">
      <w:pPr>
        <w:pStyle w:val="NoSpacing"/>
        <w:numPr>
          <w:ilvl w:val="0"/>
          <w:numId w:val="26"/>
        </w:numPr>
        <w:tabs>
          <w:tab w:val="left" w:pos="720"/>
        </w:tabs>
        <w:ind w:left="547" w:hanging="187"/>
        <w:jc w:val="both"/>
        <w:rPr>
          <w:rFonts w:asciiTheme="minorHAnsi" w:hAnsiTheme="minorHAnsi"/>
        </w:rPr>
      </w:pPr>
      <w:r>
        <w:rPr>
          <w:rFonts w:asciiTheme="minorHAnsi" w:hAnsiTheme="minorHAnsi"/>
          <w:b/>
        </w:rPr>
        <w:t>Degassing and Cleaning:</w:t>
      </w:r>
      <w:r>
        <w:rPr>
          <w:rFonts w:asciiTheme="minorHAnsi" w:hAnsiTheme="minorHAnsi"/>
          <w:color w:val="000000"/>
        </w:rPr>
        <w:t xml:space="preserve"> </w:t>
      </w:r>
    </w:p>
    <w:p w:rsidR="0084709A" w:rsidRDefault="0084709A" w:rsidP="0084709A">
      <w:pPr>
        <w:pStyle w:val="NoSpacing"/>
        <w:numPr>
          <w:ilvl w:val="0"/>
          <w:numId w:val="30"/>
        </w:numPr>
        <w:tabs>
          <w:tab w:val="left" w:pos="720"/>
        </w:tabs>
        <w:ind w:left="720" w:hanging="180"/>
        <w:jc w:val="both"/>
        <w:rPr>
          <w:rFonts w:asciiTheme="minorHAnsi" w:hAnsiTheme="minorHAnsi"/>
          <w:color w:val="000000"/>
        </w:rPr>
      </w:pPr>
      <w:r>
        <w:rPr>
          <w:rFonts w:asciiTheme="minorHAnsi" w:hAnsiTheme="minorHAnsi"/>
          <w:color w:val="000000"/>
          <w:u w:val="single"/>
        </w:rPr>
        <w:t>Losses</w:t>
      </w:r>
      <w:r>
        <w:rPr>
          <w:rFonts w:asciiTheme="minorHAnsi" w:hAnsiTheme="minorHAnsi"/>
          <w:color w:val="000000"/>
        </w:rPr>
        <w:t xml:space="preserve">: VOC stationary storage tanks must be cleaned periodically.  Before a tank is cleaned, it must be degassed (which is the removal of gases, such as gasoline vapor) so personnel can safely enter to clean the tank and remove accumulated sludge.  The sludge removed from the tank can contain residual VOC liquid that may evaporate when exposed to the atmosphere. </w:t>
      </w:r>
    </w:p>
    <w:p w:rsidR="0084709A" w:rsidRDefault="0084709A" w:rsidP="0084709A">
      <w:pPr>
        <w:pStyle w:val="NoSpacing"/>
        <w:numPr>
          <w:ilvl w:val="0"/>
          <w:numId w:val="30"/>
        </w:numPr>
        <w:tabs>
          <w:tab w:val="left" w:pos="720"/>
        </w:tabs>
        <w:spacing w:after="60"/>
        <w:ind w:left="734" w:hanging="187"/>
        <w:jc w:val="both"/>
        <w:rPr>
          <w:rFonts w:asciiTheme="minorHAnsi" w:hAnsiTheme="minorHAnsi"/>
        </w:rPr>
      </w:pPr>
      <w:r>
        <w:rPr>
          <w:rFonts w:asciiTheme="minorHAnsi" w:hAnsiTheme="minorHAnsi"/>
          <w:color w:val="000000"/>
          <w:u w:val="single"/>
        </w:rPr>
        <w:t>Control measures</w:t>
      </w:r>
      <w:r>
        <w:rPr>
          <w:rFonts w:asciiTheme="minorHAnsi" w:hAnsiTheme="minorHAnsi"/>
          <w:color w:val="000000"/>
        </w:rPr>
        <w:t xml:space="preserve">: </w:t>
      </w:r>
      <w:r>
        <w:rPr>
          <w:rFonts w:asciiTheme="minorHAnsi" w:hAnsiTheme="minorHAnsi"/>
        </w:rPr>
        <w:t>include control of emissions during degassing and controlling exhaust from sludge receiving vessels (such as vacuum trucks). In New Jersey’s adopted rule, the control measures are only required during ozone season (beginning 2010).</w:t>
      </w:r>
    </w:p>
    <w:p w:rsidR="0084709A" w:rsidRDefault="0084709A" w:rsidP="0084709A">
      <w:pPr>
        <w:pStyle w:val="NoSpacing"/>
        <w:numPr>
          <w:ilvl w:val="0"/>
          <w:numId w:val="26"/>
        </w:numPr>
        <w:tabs>
          <w:tab w:val="left" w:pos="720"/>
        </w:tabs>
        <w:ind w:left="540" w:hanging="180"/>
        <w:jc w:val="both"/>
        <w:rPr>
          <w:rFonts w:asciiTheme="minorHAnsi" w:hAnsiTheme="minorHAnsi"/>
        </w:rPr>
      </w:pPr>
      <w:r>
        <w:rPr>
          <w:rFonts w:asciiTheme="minorHAnsi" w:hAnsiTheme="minorHAnsi"/>
          <w:b/>
        </w:rPr>
        <w:t>Inspection and Maintenance:</w:t>
      </w:r>
      <w:r>
        <w:rPr>
          <w:rFonts w:asciiTheme="minorHAnsi" w:hAnsiTheme="minorHAnsi"/>
          <w:color w:val="000000"/>
        </w:rPr>
        <w:t xml:space="preserve"> </w:t>
      </w:r>
    </w:p>
    <w:p w:rsidR="0084709A" w:rsidRDefault="0084709A" w:rsidP="0084709A">
      <w:pPr>
        <w:pStyle w:val="NoSpacing"/>
        <w:numPr>
          <w:ilvl w:val="0"/>
          <w:numId w:val="31"/>
        </w:numPr>
        <w:tabs>
          <w:tab w:val="left" w:pos="720"/>
        </w:tabs>
        <w:spacing w:after="120"/>
        <w:ind w:left="734" w:hanging="187"/>
        <w:jc w:val="both"/>
        <w:rPr>
          <w:rFonts w:asciiTheme="minorHAnsi" w:hAnsiTheme="minorHAnsi"/>
        </w:rPr>
      </w:pPr>
      <w:r>
        <w:rPr>
          <w:rFonts w:asciiTheme="minorHAnsi" w:hAnsiTheme="minorHAnsi"/>
          <w:color w:val="000000"/>
          <w:u w:val="single"/>
        </w:rPr>
        <w:t>Control measures</w:t>
      </w:r>
      <w:r>
        <w:rPr>
          <w:rFonts w:asciiTheme="minorHAnsi" w:hAnsiTheme="minorHAnsi"/>
          <w:color w:val="000000"/>
        </w:rPr>
        <w:t>: An inspection and maintenance program to reduce VOC emissions by assuring that tank components are in good condition and operating properly.</w:t>
      </w:r>
    </w:p>
    <w:p w:rsidR="0084709A" w:rsidRPr="00B31F10" w:rsidRDefault="00B31F10" w:rsidP="00B31F10">
      <w:pPr>
        <w:pStyle w:val="Heading3"/>
      </w:pPr>
      <w:bookmarkStart w:id="19" w:name="_Toc459898981"/>
      <w:bookmarkStart w:id="20" w:name="_Toc461020939"/>
      <w:bookmarkStart w:id="21" w:name="_Toc461025603"/>
      <w:bookmarkStart w:id="22" w:name="_Toc461025816"/>
      <w:bookmarkStart w:id="23" w:name="_Toc461027082"/>
      <w:r w:rsidRPr="00B31F10">
        <w:t>2</w:t>
      </w:r>
      <w:r w:rsidR="0008573B" w:rsidRPr="00B31F10">
        <w:t>.1.1</w:t>
      </w:r>
      <w:r w:rsidR="0008573B" w:rsidRPr="00B31F10">
        <w:tab/>
      </w:r>
      <w:r>
        <w:tab/>
      </w:r>
      <w:r w:rsidR="0084709A" w:rsidRPr="00B31F10">
        <w:t>Federal Standards</w:t>
      </w:r>
      <w:bookmarkEnd w:id="19"/>
      <w:bookmarkEnd w:id="20"/>
      <w:bookmarkEnd w:id="21"/>
      <w:bookmarkEnd w:id="22"/>
      <w:bookmarkEnd w:id="23"/>
    </w:p>
    <w:p w:rsidR="0084709A" w:rsidRDefault="0084709A" w:rsidP="0084709A">
      <w:pPr>
        <w:autoSpaceDE w:val="0"/>
        <w:autoSpaceDN w:val="0"/>
        <w:adjustRightInd w:val="0"/>
        <w:ind w:left="360"/>
        <w:jc w:val="both"/>
        <w:rPr>
          <w:rFonts w:asciiTheme="minorHAnsi" w:hAnsiTheme="minorHAnsi"/>
        </w:rPr>
      </w:pPr>
      <w:r>
        <w:rPr>
          <w:rFonts w:asciiTheme="minorHAnsi" w:hAnsiTheme="minorHAnsi"/>
        </w:rPr>
        <w:t>Certain storage tanks are subject to Federal Standards, such as New Source Performance Standards (NSPS) Subparts K, Ka, and Kb, as well as Maximum Available Control Technology (MACT) Subpart R (Gasoline Terminals and Pipeline Breakout Stations), 40 CFR 63 Subpart BBBBBB (Area Source Gasoline Terminals and Pipeline Breakout Stations), Subpart WW (Storage Tanks), and MACT Subpart CC (Petroleum Refineries).  There is some overlap between the model rule and these Federal standards, particularly with regard to deck fitting, seal, and tank inspection requirements. However, unlike the model rule, federal standards do not generally address roof landings and tank cleaning, and they do not require external floating roof tanks to be covered with domes.</w:t>
      </w:r>
    </w:p>
    <w:p w:rsidR="0084709A" w:rsidRDefault="00B31F10" w:rsidP="00B31F10">
      <w:pPr>
        <w:pStyle w:val="Heading3"/>
      </w:pPr>
      <w:bookmarkStart w:id="24" w:name="_Toc459898982"/>
      <w:bookmarkStart w:id="25" w:name="_Toc461020940"/>
      <w:bookmarkStart w:id="26" w:name="_Toc461025604"/>
      <w:bookmarkStart w:id="27" w:name="_Toc461025817"/>
      <w:bookmarkStart w:id="28" w:name="_Toc461027083"/>
      <w:r>
        <w:t>2</w:t>
      </w:r>
      <w:r w:rsidR="0008573B">
        <w:t>.1.2</w:t>
      </w:r>
      <w:r>
        <w:tab/>
      </w:r>
      <w:r>
        <w:tab/>
      </w:r>
      <w:r w:rsidR="0084709A">
        <w:t>OTC Measure</w:t>
      </w:r>
      <w:bookmarkEnd w:id="24"/>
      <w:bookmarkEnd w:id="25"/>
      <w:bookmarkEnd w:id="26"/>
      <w:bookmarkEnd w:id="27"/>
      <w:bookmarkEnd w:id="28"/>
    </w:p>
    <w:p w:rsidR="0084709A" w:rsidRDefault="0084709A" w:rsidP="0084709A">
      <w:pPr>
        <w:pStyle w:val="NoSpacing"/>
        <w:spacing w:after="60"/>
        <w:ind w:left="360"/>
        <w:jc w:val="both"/>
        <w:rPr>
          <w:rFonts w:asciiTheme="minorHAnsi" w:hAnsiTheme="minorHAnsi"/>
        </w:rPr>
      </w:pPr>
      <w:r>
        <w:rPr>
          <w:rFonts w:asciiTheme="minorHAnsi" w:hAnsiTheme="minorHAnsi"/>
        </w:rPr>
        <w:t>The OTC model rule has proposed the following controls by category:</w:t>
      </w:r>
    </w:p>
    <w:p w:rsidR="0084709A" w:rsidRDefault="0084709A" w:rsidP="0084709A">
      <w:pPr>
        <w:pStyle w:val="NoSpacing"/>
        <w:numPr>
          <w:ilvl w:val="0"/>
          <w:numId w:val="32"/>
        </w:numPr>
        <w:ind w:left="540" w:hanging="180"/>
        <w:jc w:val="both"/>
        <w:rPr>
          <w:rFonts w:asciiTheme="minorHAnsi" w:hAnsiTheme="minorHAnsi"/>
        </w:rPr>
      </w:pPr>
      <w:r>
        <w:rPr>
          <w:rFonts w:asciiTheme="minorHAnsi" w:hAnsiTheme="minorHAnsi"/>
          <w:b/>
        </w:rPr>
        <w:t>Deck fittings, seals:</w:t>
      </w:r>
      <w:r>
        <w:rPr>
          <w:rFonts w:asciiTheme="minorHAnsi" w:hAnsiTheme="minorHAnsi"/>
        </w:rPr>
        <w:t xml:space="preserve"> Gap width requirements for deck fitting gaskets and rim seals, pole sleeves and floats on slotted guidepoles (based on California’s South Coast Air Quality Management District (SCAQMD) Rule 1178, similar to MACT WW) which could result in up to 80% reduction in standing loss emissions on external floating roof tanks.</w:t>
      </w:r>
    </w:p>
    <w:p w:rsidR="0084709A" w:rsidRDefault="0084709A" w:rsidP="0084709A">
      <w:pPr>
        <w:pStyle w:val="NoSpacing"/>
        <w:numPr>
          <w:ilvl w:val="0"/>
          <w:numId w:val="32"/>
        </w:numPr>
        <w:ind w:left="540" w:hanging="180"/>
        <w:jc w:val="both"/>
        <w:rPr>
          <w:rFonts w:asciiTheme="minorHAnsi" w:hAnsiTheme="minorHAnsi"/>
        </w:rPr>
      </w:pPr>
      <w:r>
        <w:rPr>
          <w:rFonts w:asciiTheme="minorHAnsi" w:hAnsiTheme="minorHAnsi"/>
          <w:b/>
        </w:rPr>
        <w:t>Domes:</w:t>
      </w:r>
      <w:r>
        <w:rPr>
          <w:rFonts w:asciiTheme="minorHAnsi" w:hAnsiTheme="minorHAnsi"/>
        </w:rPr>
        <w:t xml:space="preserve"> Installing domes on external floating roof tanks can result in about 60% reduction of emissions remaining after deck fittings upgraded. </w:t>
      </w:r>
    </w:p>
    <w:p w:rsidR="0084709A" w:rsidRDefault="0084709A" w:rsidP="0084709A">
      <w:pPr>
        <w:pStyle w:val="NoSpacing"/>
        <w:numPr>
          <w:ilvl w:val="0"/>
          <w:numId w:val="32"/>
        </w:numPr>
        <w:spacing w:after="60"/>
        <w:ind w:left="547" w:hanging="187"/>
        <w:jc w:val="both"/>
        <w:rPr>
          <w:rFonts w:asciiTheme="minorHAnsi" w:hAnsiTheme="minorHAnsi"/>
        </w:rPr>
      </w:pPr>
      <w:r>
        <w:rPr>
          <w:rFonts w:asciiTheme="minorHAnsi" w:hAnsiTheme="minorHAnsi"/>
          <w:b/>
        </w:rPr>
        <w:t xml:space="preserve">Roof Landing Controls: </w:t>
      </w:r>
      <w:r>
        <w:rPr>
          <w:rFonts w:asciiTheme="minorHAnsi" w:hAnsiTheme="minorHAnsi"/>
        </w:rPr>
        <w:t xml:space="preserve">Options include use of a vapor recovery and control system for roof landings, or minimizing the vapor space by reducing the lander height to one foot or less. The vapor recovery/control option in the model rule requires 90% control until the floating roof is within 90% by volume of being refloated for a total of 81% control.  Lowering landing height to one foot or less can result in 60% to 100% reduction in roof landing cycle </w:t>
      </w:r>
      <w:r w:rsidR="0060782B">
        <w:rPr>
          <w:noProof/>
        </w:rPr>
        <mc:AlternateContent>
          <mc:Choice Requires="wps">
            <w:drawing>
              <wp:anchor distT="0" distB="0" distL="114300" distR="114300" simplePos="0" relativeHeight="251683840" behindDoc="0" locked="1" layoutInCell="1" allowOverlap="0" wp14:anchorId="37F0C09B" wp14:editId="2A19CA42">
                <wp:simplePos x="0" y="0"/>
                <wp:positionH relativeFrom="margin">
                  <wp:posOffset>2876550</wp:posOffset>
                </wp:positionH>
                <wp:positionV relativeFrom="bottomMargin">
                  <wp:posOffset>112395</wp:posOffset>
                </wp:positionV>
                <wp:extent cx="914400" cy="23749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237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782B" w:rsidRDefault="0060782B" w:rsidP="0060782B">
                            <w:pPr>
                              <w:ind w:right="60"/>
                              <w:rPr>
                                <w:rFonts w:asciiTheme="minorHAnsi" w:hAnsiTheme="minorHAnsi"/>
                                <w:sz w:val="20"/>
                                <w:szCs w:val="20"/>
                              </w:rPr>
                            </w:pPr>
                            <w:hyperlink w:anchor="TOC" w:history="1">
                              <w:r>
                                <w:rPr>
                                  <w:rStyle w:val="Hyperlink"/>
                                  <w:sz w:val="20"/>
                                  <w:szCs w:val="20"/>
                                </w:rPr>
                                <w:t>Back to TOC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0C09B" id="Text Box 18" o:spid="_x0000_s1029" type="#_x0000_t202" style="position:absolute;left:0;text-align:left;margin-left:226.5pt;margin-top:8.85pt;width:1in;height:18.7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4HllgIAAKsFAAAOAAAAZHJzL2Uyb0RvYy54bWysVFFPGzEMfp+0/xDlfVxbCowTV9SBmCZV&#10;gAYTz2kuoRFJnCVp77pfj5O7K4XxwrSXOyf+bMf2Z5+dt0aTjfBBga3o+GBEibAcamUfK/rr/urL&#10;V0pCZLZmGqyo6FYEej77/OmscaWYwAp0LTxBJzaUjavoKkZXFkXgK2FYOAAnLColeMMiHv1jUXvW&#10;oHeji8lodFw04GvngYsQ8PayU9JZ9i+l4PFGyiAi0RXFt8X89fm7TN9idsbKR8/cSvH+GewfXmGY&#10;shh05+qSRUbWXv3lyijuIYCMBxxMAVIqLnIOmM149CabuxVzIueCxQluV6bw/9zy682tJ6rG3mGn&#10;LDPYo3vRRvINWoJXWJ/GhRJhdw6BscV7xOZcg1sAfwoIKfYwnUFAdKpHK71Jf8yUoCG2YLsrewrD&#10;8fJ0PJ2OUMNRNTk8mZ7mthQvxs6H+F2AIUmoqMeu5gewzSLEFJ6VAyTFCqBVfaW0zofEJHGhPdkw&#10;5ICO45QTWrxCaUuaih4fHo2yYwvJvMNpm9yIzKU+XMq2SzBLcatFwmj7U0isZc7zndiMc2F38TM6&#10;oSSG+ohhj3951UeMuzzQIkcGG3fGRlnwXV9fl6x+GkomO3zf79DlnUoQ22WbSXQyEGYJ9Rb54qGb&#10;uOD4lcLmLViIt8zjiGG/cW3EG/xIDVh86CVKVuD/vHef8Mh81FLS4MhWNPxeMy8o0T8szkTmEc54&#10;PkyPTiYYw+9rlvsauzYXgIwY44JyPIsJH/UgSg/mAbfLPEVFFbMcY1c0DuJF7BYJbicu5vMMwql2&#10;LC7snePDmCRq3rcPzLuevxGJfw3DcLPyDY07bOqPhfk6glSZ46nOXVX7+uNGyETut1daOfvnjHrZ&#10;sbNnAAAA//8DAFBLAwQUAAYACAAAACEALrMSl98AAAAJAQAADwAAAGRycy9kb3ducmV2LnhtbEyP&#10;MU/DMBCFdyT+g3VILBV1AoRAiFMhRKV26EDapZsbH0lEfI5stw3/nmMq2929p3ffKxeTHcQJfegd&#10;KUjnCQikxpmeWgW77fLuGUSImoweHKGCHwywqK6vSl0Yd6ZPPNWxFRxCodAKuhjHQsrQdGh1mLsR&#10;ibUv562OvPpWGq/PHG4HeZ8kT9LqnvhDp0d877D5ro9WwSbsV7O9Xy1ndTByjbj5WKdRqdub6e0V&#10;RMQpXszwh8/oUDHTwR3JBDEoeMweuEtkIc9BsCF7yflw4CFLQVal/N+g+gUAAP//AwBQSwECLQAU&#10;AAYACAAAACEAtoM4kv4AAADhAQAAEwAAAAAAAAAAAAAAAAAAAAAAW0NvbnRlbnRfVHlwZXNdLnht&#10;bFBLAQItABQABgAIAAAAIQA4/SH/1gAAAJQBAAALAAAAAAAAAAAAAAAAAC8BAABfcmVscy8ucmVs&#10;c1BLAQItABQABgAIAAAAIQBoQ4HllgIAAKsFAAAOAAAAAAAAAAAAAAAAAC4CAABkcnMvZTJvRG9j&#10;LnhtbFBLAQItABQABgAIAAAAIQAusxKX3wAAAAkBAAAPAAAAAAAAAAAAAAAAAPAEAABkcnMvZG93&#10;bnJldi54bWxQSwUGAAAAAAQABADzAAAA/AUAAAAA&#10;" o:allowoverlap="f" fillcolor="white [3201]" stroked="f" strokeweight=".5pt">
                <v:path arrowok="t"/>
                <v:textbox>
                  <w:txbxContent>
                    <w:p w:rsidR="0060782B" w:rsidRDefault="0060782B" w:rsidP="0060782B">
                      <w:pPr>
                        <w:ind w:right="60"/>
                        <w:rPr>
                          <w:rFonts w:asciiTheme="minorHAnsi" w:hAnsiTheme="minorHAnsi"/>
                          <w:sz w:val="20"/>
                          <w:szCs w:val="20"/>
                        </w:rPr>
                      </w:pPr>
                      <w:hyperlink w:anchor="TOC" w:history="1">
                        <w:r>
                          <w:rPr>
                            <w:rStyle w:val="Hyperlink"/>
                            <w:sz w:val="20"/>
                            <w:szCs w:val="20"/>
                          </w:rPr>
                          <w:t>Back to TOC</w:t>
                        </w:r>
                      </w:hyperlink>
                    </w:p>
                  </w:txbxContent>
                </v:textbox>
                <w10:wrap anchorx="margin" anchory="margin"/>
                <w10:anchorlock/>
              </v:shape>
            </w:pict>
          </mc:Fallback>
        </mc:AlternateContent>
      </w:r>
      <w:r>
        <w:rPr>
          <w:rFonts w:asciiTheme="minorHAnsi" w:hAnsiTheme="minorHAnsi"/>
        </w:rPr>
        <w:t>emissions, depending on how tank is operated (drained dry or heal remaining).</w:t>
      </w:r>
    </w:p>
    <w:p w:rsidR="0084709A" w:rsidRDefault="0084709A" w:rsidP="0084709A">
      <w:pPr>
        <w:pStyle w:val="NoSpacing"/>
        <w:numPr>
          <w:ilvl w:val="0"/>
          <w:numId w:val="33"/>
        </w:numPr>
        <w:spacing w:after="60"/>
        <w:ind w:left="547" w:hanging="187"/>
        <w:jc w:val="both"/>
        <w:rPr>
          <w:rFonts w:asciiTheme="minorHAnsi" w:hAnsiTheme="minorHAnsi"/>
        </w:rPr>
      </w:pPr>
      <w:r>
        <w:rPr>
          <w:rFonts w:asciiTheme="minorHAnsi" w:hAnsiTheme="minorHAnsi"/>
          <w:b/>
        </w:rPr>
        <w:lastRenderedPageBreak/>
        <w:t>Cleaning and Degassing:</w:t>
      </w:r>
      <w:r>
        <w:rPr>
          <w:rFonts w:asciiTheme="minorHAnsi" w:hAnsiTheme="minorHAnsi"/>
          <w:color w:val="000000"/>
        </w:rPr>
        <w:t xml:space="preserve"> The model rule</w:t>
      </w:r>
      <w:r>
        <w:rPr>
          <w:rFonts w:asciiTheme="minorHAnsi" w:hAnsiTheme="minorHAnsi"/>
        </w:rPr>
        <w:t xml:space="preserve"> requires 95% control of emissions during degassing (until the concentration level in the tank is 5,000 ppm as methane), and control of exhaust from receiving vessel (e.g. vacuum truck). The model rule requires compliance with this provision 10 years from adoption.  However, it can be reasonable to require compliance sooner, within 1-2 years after adoption, as this provision does not require physical modifications to a tank. This time frame is sufficient for facilities to arrange for control contractors and obtain necessary permits.  In New Jersey, this requirement which only applies during ozone season began in 2010.</w:t>
      </w:r>
    </w:p>
    <w:p w:rsidR="0084709A" w:rsidRDefault="0084709A" w:rsidP="0084709A">
      <w:pPr>
        <w:pStyle w:val="NoSpacing"/>
        <w:numPr>
          <w:ilvl w:val="0"/>
          <w:numId w:val="32"/>
        </w:numPr>
        <w:spacing w:after="120"/>
        <w:ind w:left="547" w:hanging="187"/>
        <w:jc w:val="both"/>
        <w:rPr>
          <w:rFonts w:asciiTheme="minorHAnsi" w:hAnsiTheme="minorHAnsi"/>
        </w:rPr>
      </w:pPr>
      <w:r>
        <w:rPr>
          <w:rFonts w:asciiTheme="minorHAnsi" w:hAnsiTheme="minorHAnsi"/>
          <w:b/>
        </w:rPr>
        <w:t>Inspection and Maintenance:</w:t>
      </w:r>
      <w:r>
        <w:rPr>
          <w:rFonts w:asciiTheme="minorHAnsi" w:hAnsiTheme="minorHAnsi"/>
        </w:rPr>
        <w:t xml:space="preserve"> </w:t>
      </w:r>
      <w:r>
        <w:rPr>
          <w:rFonts w:asciiTheme="minorHAnsi" w:hAnsiTheme="minorHAnsi"/>
          <w:color w:val="000000"/>
        </w:rPr>
        <w:t>For external floating roof tanks, the rule includes full inspection of gap widths for deck fittings and secondary seals annually, and of primary seals every 5 years.  For internal floating roof tanks, the model rule includes annual visual inspection (without entering the tank) and full inspection of deck fitting and seal gaps each time the tank is emptied and degassed (no less than every 10 years).</w:t>
      </w:r>
      <w:r>
        <w:rPr>
          <w:rFonts w:asciiTheme="minorHAnsi" w:hAnsiTheme="minorHAnsi"/>
          <w:b/>
          <w:noProof/>
        </w:rPr>
        <w:t xml:space="preserve"> </w:t>
      </w:r>
    </w:p>
    <w:p w:rsidR="0084709A" w:rsidRDefault="00B31F10" w:rsidP="00B31F10">
      <w:pPr>
        <w:pStyle w:val="Heading3"/>
      </w:pPr>
      <w:bookmarkStart w:id="29" w:name="_Toc459898983"/>
      <w:bookmarkStart w:id="30" w:name="_Toc461020941"/>
      <w:bookmarkStart w:id="31" w:name="_Toc461025605"/>
      <w:bookmarkStart w:id="32" w:name="_Toc461025818"/>
      <w:bookmarkStart w:id="33" w:name="_Toc461027084"/>
      <w:r>
        <w:t>2</w:t>
      </w:r>
      <w:r w:rsidR="0084709A">
        <w:t>.1.3</w:t>
      </w:r>
      <w:r w:rsidR="0084709A">
        <w:tab/>
      </w:r>
      <w:r>
        <w:tab/>
      </w:r>
      <w:r w:rsidR="0084709A">
        <w:t>Emissions Reduction Benefit</w:t>
      </w:r>
      <w:bookmarkEnd w:id="29"/>
      <w:bookmarkEnd w:id="30"/>
      <w:bookmarkEnd w:id="31"/>
      <w:bookmarkEnd w:id="32"/>
      <w:bookmarkEnd w:id="33"/>
    </w:p>
    <w:p w:rsidR="0084709A" w:rsidRDefault="0084709A" w:rsidP="0084709A">
      <w:pPr>
        <w:pStyle w:val="NoSpacing"/>
        <w:spacing w:after="120"/>
        <w:ind w:left="360"/>
        <w:jc w:val="both"/>
        <w:rPr>
          <w:rFonts w:asciiTheme="minorHAnsi" w:hAnsiTheme="minorHAnsi"/>
        </w:rPr>
      </w:pPr>
      <w:r>
        <w:rPr>
          <w:rFonts w:asciiTheme="minorHAnsi" w:hAnsiTheme="minorHAnsi"/>
        </w:rPr>
        <w:t xml:space="preserve">AP-42 (TANKS) can estimate VOC reductions from deck fitting, seal, and doming requirements) and estimate losses from uncontrolled floating roof landings using the methodology in </w:t>
      </w:r>
      <w:bookmarkStart w:id="34" w:name="OLE_LINK19"/>
      <w:bookmarkStart w:id="35" w:name="OLE_LINK18"/>
      <w:r>
        <w:rPr>
          <w:rFonts w:asciiTheme="minorHAnsi" w:hAnsiTheme="minorHAnsi"/>
        </w:rPr>
        <w:t xml:space="preserve">AP-42 Chapter 7.1.3.2.2 </w:t>
      </w:r>
      <w:bookmarkEnd w:id="34"/>
      <w:bookmarkEnd w:id="35"/>
      <w:r>
        <w:rPr>
          <w:rFonts w:asciiTheme="minorHAnsi" w:hAnsiTheme="minorHAnsi"/>
        </w:rPr>
        <w:t>(added November 2006)</w:t>
      </w:r>
      <w:r>
        <w:rPr>
          <w:rStyle w:val="FootnoteReference"/>
          <w:rFonts w:asciiTheme="minorHAnsi" w:hAnsiTheme="minorHAnsi"/>
        </w:rPr>
        <w:footnoteReference w:id="1"/>
      </w:r>
      <w:r>
        <w:rPr>
          <w:rFonts w:asciiTheme="minorHAnsi" w:hAnsiTheme="minorHAnsi"/>
        </w:rPr>
        <w:t>.  Total estimated reductions for New Jersey, which the OTC rule was based on, are approximately 2,000 tons per year (tpy) by 2020.  Projected reductions include 1,400 tpy from roof landings, 265 tpy from controlling tank cleaning and degassing, 187 tpy from the deck fitting and seal measures, and 130 tpy from installing domes on external floating roof tanks. Roof landing emissions in New Jersey totaled over 2,000 tons in 2006.  Some facilities did not report roof landing emissions prior to that year.</w:t>
      </w:r>
    </w:p>
    <w:p w:rsidR="0084709A" w:rsidRDefault="0084709A" w:rsidP="0084709A">
      <w:pPr>
        <w:pStyle w:val="NoSpacing"/>
        <w:spacing w:after="120"/>
        <w:ind w:left="360"/>
        <w:jc w:val="both"/>
        <w:rPr>
          <w:rFonts w:ascii="Calibri" w:hAnsi="Calibri"/>
        </w:rPr>
      </w:pPr>
      <w:r>
        <w:rPr>
          <w:rFonts w:ascii="Calibri" w:hAnsi="Calibri"/>
        </w:rPr>
        <w:t>The emissions reduction in New Jersey, which come from 860 floating roof tanks having an average capacity of about 3.4 million gallons per tank, amount to about 2.3 tons per tank, or 0.68 tons per million gallons of tank capacity.  These figures could be used to extrapolate reductions to other states.</w:t>
      </w:r>
    </w:p>
    <w:p w:rsidR="0084709A" w:rsidRDefault="00B31F10" w:rsidP="00B31F10">
      <w:pPr>
        <w:pStyle w:val="Heading3"/>
      </w:pPr>
      <w:bookmarkStart w:id="36" w:name="_Toc459898984"/>
      <w:bookmarkStart w:id="37" w:name="_Toc461020942"/>
      <w:bookmarkStart w:id="38" w:name="_Toc461025606"/>
      <w:bookmarkStart w:id="39" w:name="_Toc461025819"/>
      <w:bookmarkStart w:id="40" w:name="_Toc461027085"/>
      <w:r>
        <w:t>2</w:t>
      </w:r>
      <w:r w:rsidR="0084709A">
        <w:t>.1.4</w:t>
      </w:r>
      <w:r>
        <w:tab/>
      </w:r>
      <w:r w:rsidR="0084709A">
        <w:tab/>
        <w:t>Control Cost Estimates</w:t>
      </w:r>
      <w:bookmarkEnd w:id="36"/>
      <w:bookmarkEnd w:id="37"/>
      <w:bookmarkEnd w:id="38"/>
      <w:bookmarkEnd w:id="39"/>
      <w:bookmarkEnd w:id="40"/>
    </w:p>
    <w:p w:rsidR="0084709A" w:rsidRDefault="0084709A" w:rsidP="0084709A">
      <w:pPr>
        <w:autoSpaceDE w:val="0"/>
        <w:autoSpaceDN w:val="0"/>
        <w:adjustRightInd w:val="0"/>
        <w:spacing w:after="120"/>
        <w:ind w:left="360"/>
        <w:jc w:val="both"/>
        <w:rPr>
          <w:rFonts w:asciiTheme="minorHAnsi" w:hAnsiTheme="minorHAnsi"/>
        </w:rPr>
      </w:pPr>
      <w:r>
        <w:rPr>
          <w:rFonts w:asciiTheme="minorHAnsi" w:hAnsiTheme="minorHAnsi"/>
        </w:rPr>
        <w:t xml:space="preserve">In its August 4, 2008 rule proposal, the New Jersey Department of Environmental Protection (NJDEP) estimated the cost of various control measures to range from $3,000 - 29,000 per ton of VOC reduced.  </w:t>
      </w:r>
    </w:p>
    <w:p w:rsidR="0084709A" w:rsidRDefault="0084709A" w:rsidP="0084709A">
      <w:pPr>
        <w:autoSpaceDE w:val="0"/>
        <w:autoSpaceDN w:val="0"/>
        <w:adjustRightInd w:val="0"/>
        <w:spacing w:after="120"/>
        <w:ind w:left="360"/>
        <w:jc w:val="both"/>
        <w:rPr>
          <w:rFonts w:asciiTheme="minorHAnsi" w:hAnsiTheme="minorHAnsi"/>
        </w:rPr>
      </w:pPr>
      <w:r>
        <w:rPr>
          <w:rFonts w:asciiTheme="minorHAnsi" w:hAnsiTheme="minorHAnsi"/>
        </w:rPr>
        <w:t>The NJDEP estimated that the cumulative costs of retrofitting guidepoles with pole sleeves, cover and wipers ($10,000) and upgrading other deck fittings ($500.00 per fitting) on external floating roof tanks storing an applicable VOC would be about $29,000 (in 2001 dollars) per ton of VOC emissions reduced (SCAQMD 2001 Report</w:t>
      </w:r>
      <w:r>
        <w:rPr>
          <w:rStyle w:val="FootnoteReference"/>
          <w:rFonts w:asciiTheme="minorHAnsi" w:hAnsiTheme="minorHAnsi"/>
        </w:rPr>
        <w:footnoteReference w:id="2"/>
      </w:r>
      <w:r>
        <w:rPr>
          <w:rFonts w:asciiTheme="minorHAnsi" w:hAnsiTheme="minorHAnsi"/>
        </w:rPr>
        <w:t xml:space="preserve">).  Installing gasketed covers or flexible </w:t>
      </w:r>
      <w:r w:rsidR="0060782B">
        <w:rPr>
          <w:noProof/>
        </w:rPr>
        <mc:AlternateContent>
          <mc:Choice Requires="wps">
            <w:drawing>
              <wp:anchor distT="0" distB="0" distL="114300" distR="114300" simplePos="0" relativeHeight="251685888" behindDoc="0" locked="1" layoutInCell="1" allowOverlap="0" wp14:anchorId="37F0C09B" wp14:editId="2A19CA42">
                <wp:simplePos x="0" y="0"/>
                <wp:positionH relativeFrom="margin">
                  <wp:posOffset>3000375</wp:posOffset>
                </wp:positionH>
                <wp:positionV relativeFrom="bottomMargin">
                  <wp:posOffset>1009015</wp:posOffset>
                </wp:positionV>
                <wp:extent cx="914400" cy="23749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237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782B" w:rsidRDefault="0060782B" w:rsidP="0060782B">
                            <w:pPr>
                              <w:ind w:right="60"/>
                              <w:rPr>
                                <w:rFonts w:asciiTheme="minorHAnsi" w:hAnsiTheme="minorHAnsi"/>
                                <w:sz w:val="20"/>
                                <w:szCs w:val="20"/>
                              </w:rPr>
                            </w:pPr>
                            <w:hyperlink w:anchor="TOC" w:history="1">
                              <w:r>
                                <w:rPr>
                                  <w:rStyle w:val="Hyperlink"/>
                                  <w:sz w:val="20"/>
                                  <w:szCs w:val="20"/>
                                </w:rPr>
                                <w:t>Back to TOC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0C09B" id="Text Box 19" o:spid="_x0000_s1030" type="#_x0000_t202" style="position:absolute;left:0;text-align:left;margin-left:236.25pt;margin-top:79.45pt;width:1in;height:18.7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5NvlgIAAKsFAAAOAAAAZHJzL2Uyb0RvYy54bWysVE1v2zAMvQ/YfxB0X52k6ZdRp8hadBgQ&#10;tMXaoWdFlhqhkqhJSuzs14+S7TTteumwi02Jj6RIPvL8ojWabIQPCmxFxwcjSoTlUCv7VNGfD9df&#10;TikJkdmaabCiolsR6MXs86fzxpViAivQtfAEndhQNq6iqxhdWRSBr4Rh4QCcsKiU4A2LePRPRe1Z&#10;g96NLiaj0XHRgK+dBy5CwNurTkln2b+UgsdbKYOIRFcU3xbz1+fvMn2L2TkrnzxzK8X7Z7B/eIVh&#10;ymLQnasrFhlZe/WXK6O4hwAyHnAwBUipuMg5YDbj0Zts7lfMiZwLFie4XZnC/3PLbzZ3nqgae3dG&#10;iWUGe/Qg2ki+QkvwCuvTuFAi7N4hMLZ4j9ica3AL4M8BIcUepjMIiE71aKU36Y+ZEjTEFmx3ZU9h&#10;OF6ejafTEWo4qiaHJ9Oz3Jbixdj5EL8JMCQJFfXY1fwAtlmEmMKzcoCkWAG0qq+V1vmQmCQutScb&#10;hhzQcZxyQotXKG1JU9Hjw6NRdmwhmXc4bZMbkbnUh0vZdglmKW61SBhtfwiJtcx5vhObcS7sLn5G&#10;J5TEUB8x7PEvr/qIcZcHWuTIYOPO2CgLvuvr65LVz0PJZIfv+x26vFMJYrtsM4lOB8Isod4iXzx0&#10;Exccv1bYvAUL8Y55HDHsN66NeIsfqQGLD71EyQr87/fuEx6Zj1pKGhzZioZfa+YFJfq7xZnIPMIZ&#10;z4fp0ckEY/h9zXJfY9fmEpARY1xQjmcx4aMeROnBPOJ2maeoqGKWY+yKxkG8jN0iwe3ExXyeQTjV&#10;jsWFvXd8GJNEzYf2kXnX8zci8W9gGG5WvqFxh039sTBfR5AqczzVuatqX3/cCJnI/fZKK2f/nFEv&#10;O3b2BwAA//8DAFBLAwQUAAYACAAAACEAHg35K+EAAAALAQAADwAAAGRycy9kb3ducmV2LnhtbEyP&#10;wU7DMBBE70j8g7VIXCrqpNDQhjgVQlRqDz0QuPTmxksSEa8j223Tv+9yguPOPM3OFKvR9uKEPnSO&#10;FKTTBARS7UxHjYKvz/XDAkSImozuHaGCCwZYlbc3hc6NO9MHnqrYCA6hkGsFbYxDLmWoW7Q6TN2A&#10;xN6381ZHPn0jjddnDre9nCVJJq3uiD+0esC3Fuuf6mgV7MJ+M9n7zXpSBSO3iLv3bRqVur8bX19A&#10;RBzjHwy/9bk6lNzp4I5kgugVPD3P5oyyMV8sQTCRpRkrB1aW2SPIspD/N5RXAAAA//8DAFBLAQIt&#10;ABQABgAIAAAAIQC2gziS/gAAAOEBAAATAAAAAAAAAAAAAAAAAAAAAABbQ29udGVudF9UeXBlc10u&#10;eG1sUEsBAi0AFAAGAAgAAAAhADj9If/WAAAAlAEAAAsAAAAAAAAAAAAAAAAALwEAAF9yZWxzLy5y&#10;ZWxzUEsBAi0AFAAGAAgAAAAhAIWTk2+WAgAAqwUAAA4AAAAAAAAAAAAAAAAALgIAAGRycy9lMm9E&#10;b2MueG1sUEsBAi0AFAAGAAgAAAAhAB4N+SvhAAAACwEAAA8AAAAAAAAAAAAAAAAA8AQAAGRycy9k&#10;b3ducmV2LnhtbFBLBQYAAAAABAAEAPMAAAD+BQAAAAA=&#10;" o:allowoverlap="f" fillcolor="white [3201]" stroked="f" strokeweight=".5pt">
                <v:path arrowok="t"/>
                <v:textbox>
                  <w:txbxContent>
                    <w:p w:rsidR="0060782B" w:rsidRDefault="0060782B" w:rsidP="0060782B">
                      <w:pPr>
                        <w:ind w:right="60"/>
                        <w:rPr>
                          <w:rFonts w:asciiTheme="minorHAnsi" w:hAnsiTheme="minorHAnsi"/>
                          <w:sz w:val="20"/>
                          <w:szCs w:val="20"/>
                        </w:rPr>
                      </w:pPr>
                      <w:hyperlink w:anchor="TOC" w:history="1">
                        <w:r>
                          <w:rPr>
                            <w:rStyle w:val="Hyperlink"/>
                            <w:sz w:val="20"/>
                            <w:szCs w:val="20"/>
                          </w:rPr>
                          <w:t>Back to TOC</w:t>
                        </w:r>
                      </w:hyperlink>
                    </w:p>
                  </w:txbxContent>
                </v:textbox>
                <w10:wrap anchorx="margin" anchory="margin"/>
                <w10:anchorlock/>
              </v:shape>
            </w:pict>
          </mc:Fallback>
        </mc:AlternateContent>
      </w:r>
      <w:r>
        <w:rPr>
          <w:rFonts w:asciiTheme="minorHAnsi" w:hAnsiTheme="minorHAnsi"/>
        </w:rPr>
        <w:t xml:space="preserve">fabric sleeves on each roof column or well and upgrading other deck fittings on an internal </w:t>
      </w:r>
      <w:r>
        <w:rPr>
          <w:rFonts w:asciiTheme="minorHAnsi" w:hAnsiTheme="minorHAnsi"/>
        </w:rPr>
        <w:lastRenderedPageBreak/>
        <w:t>floating roof tank has a cost-effectiveness of $6,000 (in 2001 dollars) per ton of VOC removed (SCAQMD 2001 Report). NJDEP estimates that upgrading the seals on any floating roof tank storing an applicable VOC has a cost-effectiveness of $13,200 (in 2001 dollars) per ton of VOC reduced as the tank is filled and emptied (SCAQMD 2001 Report). However, NJDEP expects that most floating roof tanks are already in compliance with the proposed seal requirements.</w:t>
      </w:r>
    </w:p>
    <w:p w:rsidR="0084709A" w:rsidRDefault="0084709A" w:rsidP="0084709A">
      <w:pPr>
        <w:autoSpaceDE w:val="0"/>
        <w:autoSpaceDN w:val="0"/>
        <w:adjustRightInd w:val="0"/>
        <w:spacing w:after="120"/>
        <w:ind w:left="360"/>
        <w:jc w:val="both"/>
        <w:rPr>
          <w:rFonts w:asciiTheme="minorHAnsi" w:hAnsiTheme="minorHAnsi"/>
        </w:rPr>
      </w:pPr>
      <w:r>
        <w:rPr>
          <w:rFonts w:asciiTheme="minorHAnsi" w:hAnsiTheme="minorHAnsi"/>
        </w:rPr>
        <w:t xml:space="preserve">The NJDEP estimated the cost-effectiveness of doming external floating roof tanks to be $12,036 (in 2001 dollars) per ton of VOCs reduced, based on a SCAQMD 2001 report. In its comment on the OTC model rule, the American Petroleum Institute claimed that doming costs $47,000 per ton while a British Petroleum refinery in Carson, CA reported having spent $15.4 million dollars to dome 32 external floating roof tanks. Improved deck fittings and installing domes provide additional benefits that could affect a tank’s operating expenses by protecting floating roofs from the weather, reducing maintenance, reducing wastewater, reducing risk of product contamination, and reducing risk of tank fires. </w:t>
      </w:r>
    </w:p>
    <w:p w:rsidR="0084709A" w:rsidRDefault="0084709A" w:rsidP="0084709A">
      <w:pPr>
        <w:autoSpaceDE w:val="0"/>
        <w:autoSpaceDN w:val="0"/>
        <w:adjustRightInd w:val="0"/>
        <w:spacing w:after="120"/>
        <w:ind w:left="360"/>
        <w:jc w:val="both"/>
        <w:rPr>
          <w:rFonts w:asciiTheme="minorHAnsi" w:hAnsiTheme="minorHAnsi"/>
        </w:rPr>
      </w:pPr>
      <w:r>
        <w:rPr>
          <w:rFonts w:asciiTheme="minorHAnsi" w:hAnsiTheme="minorHAnsi"/>
        </w:rPr>
        <w:t xml:space="preserve">One possible modification to address roof landings is to include replacing an existing floating roof with one that has an opening to accommodate a vapor recovery line that would go to a vapor control device. This is currently being done in parts of California, such as in the SCAQMD, in Texas and in New Jersey. Another possible modification is to retrofit a tank to meet the landing height requirement although this might be cost prohibitive if it required piping, sumps, or other hardware to be placed underneath the tank. Tanks with roof landing emissions below 5 tpy would not require modifications. </w:t>
      </w:r>
    </w:p>
    <w:p w:rsidR="0084709A" w:rsidRDefault="0084709A" w:rsidP="0084709A">
      <w:pPr>
        <w:autoSpaceDE w:val="0"/>
        <w:autoSpaceDN w:val="0"/>
        <w:adjustRightInd w:val="0"/>
        <w:spacing w:after="120"/>
        <w:ind w:left="360"/>
        <w:jc w:val="both"/>
        <w:rPr>
          <w:rFonts w:asciiTheme="minorHAnsi" w:hAnsiTheme="minorHAnsi"/>
        </w:rPr>
      </w:pPr>
      <w:r>
        <w:rPr>
          <w:rFonts w:asciiTheme="minorHAnsi" w:hAnsiTheme="minorHAnsi"/>
        </w:rPr>
        <w:t>Estimates of cost-effectiveness  in performing these modifications and operating the installed controls varies from $2,288 - $20,000 per ton of VOC reduced based on tank size (</w:t>
      </w:r>
      <w:bookmarkStart w:id="41" w:name="OLE_LINK23"/>
      <w:bookmarkStart w:id="42" w:name="OLE_LINK22"/>
      <w:r>
        <w:rPr>
          <w:rFonts w:asciiTheme="minorHAnsi" w:hAnsiTheme="minorHAnsi"/>
        </w:rPr>
        <w:t xml:space="preserve">SCAQMD 1987 Report </w:t>
      </w:r>
      <w:bookmarkEnd w:id="41"/>
      <w:bookmarkEnd w:id="42"/>
      <w:r>
        <w:rPr>
          <w:rFonts w:asciiTheme="minorHAnsi" w:hAnsiTheme="minorHAnsi"/>
        </w:rPr>
        <w:t xml:space="preserve">and the </w:t>
      </w:r>
      <w:bookmarkStart w:id="43" w:name="OLE_LINK21"/>
      <w:bookmarkStart w:id="44" w:name="OLE_LINK20"/>
      <w:bookmarkStart w:id="45" w:name="OLE_LINK17"/>
      <w:bookmarkStart w:id="46" w:name="OLE_LINK16"/>
      <w:r>
        <w:rPr>
          <w:rFonts w:asciiTheme="minorHAnsi" w:hAnsiTheme="minorHAnsi"/>
        </w:rPr>
        <w:t xml:space="preserve">San Joaquin Valley Unified Air Pollution Control District (SJVUAPCD) 2005 </w:t>
      </w:r>
      <w:bookmarkEnd w:id="43"/>
      <w:bookmarkEnd w:id="44"/>
      <w:r>
        <w:rPr>
          <w:rFonts w:asciiTheme="minorHAnsi" w:hAnsiTheme="minorHAnsi"/>
        </w:rPr>
        <w:t>Report</w:t>
      </w:r>
      <w:bookmarkEnd w:id="45"/>
      <w:bookmarkEnd w:id="46"/>
      <w:r>
        <w:rPr>
          <w:rFonts w:asciiTheme="minorHAnsi" w:hAnsiTheme="minorHAnsi"/>
        </w:rPr>
        <w:t>). Control measures have been found to be more cost-effective for larger tanks than for smaller ones. The cost per ton of VOC reduced has been estimated to be $4,000 - $20,000 by SCAQMD, $2,288 - $4,290 by SJVUAPCD, and about $3,000 by the Bay Area Air Quality Management District (</w:t>
      </w:r>
      <w:bookmarkStart w:id="47" w:name="OLE_LINK15"/>
      <w:r>
        <w:rPr>
          <w:rFonts w:asciiTheme="minorHAnsi" w:hAnsiTheme="minorHAnsi"/>
        </w:rPr>
        <w:t>BAAQMD) in its 1997 Report</w:t>
      </w:r>
      <w:bookmarkEnd w:id="47"/>
      <w:r>
        <w:rPr>
          <w:rFonts w:asciiTheme="minorHAnsi" w:hAnsiTheme="minorHAnsi"/>
        </w:rPr>
        <w:t>.</w:t>
      </w:r>
      <w:r>
        <w:rPr>
          <w:rStyle w:val="FootnoteReference"/>
          <w:rFonts w:asciiTheme="minorHAnsi" w:hAnsiTheme="minorHAnsi"/>
        </w:rPr>
        <w:footnoteReference w:id="3"/>
      </w:r>
      <w:r>
        <w:rPr>
          <w:rFonts w:asciiTheme="minorHAnsi" w:hAnsiTheme="minorHAnsi"/>
        </w:rPr>
        <w:t xml:space="preserve"> The low cost estimate from BAAQMD is for modifications performed on a large (approximately 5 million gallon) tank which included the cost of converting an external floating roof tank to an internal floating roof tank, as well as the cost of vapor control</w:t>
      </w:r>
    </w:p>
    <w:p w:rsidR="0084709A" w:rsidRDefault="0084709A" w:rsidP="0084709A">
      <w:pPr>
        <w:autoSpaceDE w:val="0"/>
        <w:autoSpaceDN w:val="0"/>
        <w:adjustRightInd w:val="0"/>
        <w:spacing w:after="120"/>
        <w:ind w:left="360"/>
        <w:jc w:val="both"/>
        <w:rPr>
          <w:rFonts w:asciiTheme="minorHAnsi" w:hAnsiTheme="minorHAnsi"/>
        </w:rPr>
      </w:pPr>
      <w:r>
        <w:rPr>
          <w:rFonts w:asciiTheme="minorHAnsi" w:hAnsiTheme="minorHAnsi"/>
        </w:rPr>
        <w:t xml:space="preserve">The estimated cost to control emissions during a degassing operation is $6,283 - $11,781 for a 62,832-barrel floating roof tank, with a cost-effectiveness of $2,288 - $4,290 per ton of VOC emissions reduced (SJVUAPCD 2005 Report). There will be additional cost for tank cleaning that can vary significantly depending on tank size, contents stored, liquid heel height, sludge level, and solids content. The proposed degassing amendments will affect tanks greater than </w:t>
      </w:r>
      <w:r w:rsidR="0060782B">
        <w:rPr>
          <w:noProof/>
        </w:rPr>
        <mc:AlternateContent>
          <mc:Choice Requires="wps">
            <w:drawing>
              <wp:anchor distT="0" distB="0" distL="114300" distR="114300" simplePos="0" relativeHeight="251687936" behindDoc="0" locked="1" layoutInCell="1" allowOverlap="0" wp14:anchorId="37F0C09B" wp14:editId="2A19CA42">
                <wp:simplePos x="0" y="0"/>
                <wp:positionH relativeFrom="margin">
                  <wp:posOffset>2895600</wp:posOffset>
                </wp:positionH>
                <wp:positionV relativeFrom="bottomMargin">
                  <wp:posOffset>490220</wp:posOffset>
                </wp:positionV>
                <wp:extent cx="914400" cy="23749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237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782B" w:rsidRDefault="0060782B" w:rsidP="0060782B">
                            <w:pPr>
                              <w:ind w:right="60"/>
                              <w:rPr>
                                <w:rFonts w:asciiTheme="minorHAnsi" w:hAnsiTheme="minorHAnsi"/>
                                <w:sz w:val="20"/>
                                <w:szCs w:val="20"/>
                              </w:rPr>
                            </w:pPr>
                            <w:hyperlink w:anchor="TOC" w:history="1">
                              <w:r>
                                <w:rPr>
                                  <w:rStyle w:val="Hyperlink"/>
                                  <w:sz w:val="20"/>
                                  <w:szCs w:val="20"/>
                                </w:rPr>
                                <w:t>Back to TOC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0C09B" id="Text Box 20" o:spid="_x0000_s1031" type="#_x0000_t202" style="position:absolute;left:0;text-align:left;margin-left:228pt;margin-top:38.6pt;width:1in;height:18.7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FGZlgIAAKsFAAAOAAAAZHJzL2Uyb0RvYy54bWysVFFPGzEMfp+0/xDlfVxbCowTV9SBmCZV&#10;gAYTz2kuoRFJnCVp77pfj5O7K4XxwrSXOyf+bMf2Z5+dt0aTjfBBga3o+GBEibAcamUfK/rr/urL&#10;V0pCZLZmGqyo6FYEej77/OmscaWYwAp0LTxBJzaUjavoKkZXFkXgK2FYOAAnLColeMMiHv1jUXvW&#10;oHeji8lodFw04GvngYsQ8PayU9JZ9i+l4PFGyiAi0RXFt8X89fm7TN9idsbKR8/cSvH+GewfXmGY&#10;shh05+qSRUbWXv3lyijuIYCMBxxMAVIqLnIOmM149CabuxVzIueCxQluV6bw/9zy682tJ6qu6ATL&#10;Y5nBHt2LNpJv0BK8wvo0LpQIu3MIjC3eY59zrsEtgD8FhBR7mM4gIDrVo5XepD9mStAQY2x3ZU9h&#10;OF6ejqfTEWo4qiaHJ9PTHLZ4MXY+xO8CDElCRT12NT+AbRYhpvCsHCApVgCt6iuldT4kJokL7cmG&#10;IQd0HKec0OIVSlvSVPT48GiUHVtI5h1O2+RGZC714VK2XYJZilstEkbbn0JiLXOe78RmnAu7i5/R&#10;CSUx1EcMe/zLqz5i3OWBFjky2LgzNsqC7/r6umT101Ay2eH7focu71SC2C7bTKLTgTBLqLfIFw/d&#10;xAXHrxQ2b8FCvGUeRwz7jWsj3uBHasDiQy9RsgL/5737hEfmo5aSBke2ouH3mnlBif5hcSYyj3DG&#10;82F6dJIY7fc1y32NXZsLQEaMcUE5nsWEj3oQpQfzgNtlnqKiilmOsSsaB/EidosEtxMX83kG4VQ7&#10;Fhf2zvFhTBI179sH5l3P34jEv4ZhuFn5hsYdNvXHwnwdQarM8VTnrqp9/XEjZCL32yutnP1zRr3s&#10;2NkzAAAA//8DAFBLAwQUAAYACAAAACEAB+EyEOAAAAAKAQAADwAAAGRycy9kb3ducmV2LnhtbEyP&#10;wU7DMAyG70i8Q2QkLhNLOo0OlaYTQkzaDjtQuOyWNaataJwqybby9pgTO9r+9Pv7y/XkBnHGEHtP&#10;GrK5AoHUeNtTq+HzY/PwBCImQ9YMnlDDD0ZYV7c3pSmsv9A7nuvUCg6hWBgNXUpjIWVsOnQmzv2I&#10;xLcvH5xJPIZW2mAuHO4GuVAql870xB86M+Jrh813fXIa9vGwnR3CdjOro5U7xP3bLkta399NL88g&#10;Ek7pH4Y/fVaHip2O/kQ2ikHD8jHnLknDarUAwUCuFC+OTGbLHGRVyusK1S8AAAD//wMAUEsBAi0A&#10;FAAGAAgAAAAhALaDOJL+AAAA4QEAABMAAAAAAAAAAAAAAAAAAAAAAFtDb250ZW50X1R5cGVzXS54&#10;bWxQSwECLQAUAAYACAAAACEAOP0h/9YAAACUAQAACwAAAAAAAAAAAAAAAAAvAQAAX3JlbHMvLnJl&#10;bHNQSwECLQAUAAYACAAAACEAe4BRmZYCAACrBQAADgAAAAAAAAAAAAAAAAAuAgAAZHJzL2Uyb0Rv&#10;Yy54bWxQSwECLQAUAAYACAAAACEAB+EyEOAAAAAKAQAADwAAAAAAAAAAAAAAAADwBAAAZHJzL2Rv&#10;d25yZXYueG1sUEsFBgAAAAAEAAQA8wAAAP0FAAAAAA==&#10;" o:allowoverlap="f" fillcolor="white [3201]" stroked="f" strokeweight=".5pt">
                <v:path arrowok="t"/>
                <v:textbox>
                  <w:txbxContent>
                    <w:p w:rsidR="0060782B" w:rsidRDefault="0060782B" w:rsidP="0060782B">
                      <w:pPr>
                        <w:ind w:right="60"/>
                        <w:rPr>
                          <w:rFonts w:asciiTheme="minorHAnsi" w:hAnsiTheme="minorHAnsi"/>
                          <w:sz w:val="20"/>
                          <w:szCs w:val="20"/>
                        </w:rPr>
                      </w:pPr>
                      <w:hyperlink w:anchor="TOC" w:history="1">
                        <w:r>
                          <w:rPr>
                            <w:rStyle w:val="Hyperlink"/>
                            <w:sz w:val="20"/>
                            <w:szCs w:val="20"/>
                          </w:rPr>
                          <w:t>Back to TOC</w:t>
                        </w:r>
                      </w:hyperlink>
                    </w:p>
                  </w:txbxContent>
                </v:textbox>
                <w10:wrap anchorx="margin" anchory="margin"/>
                <w10:anchorlock/>
              </v:shape>
            </w:pict>
          </mc:Fallback>
        </mc:AlternateContent>
      </w:r>
      <w:r>
        <w:rPr>
          <w:rFonts w:asciiTheme="minorHAnsi" w:hAnsiTheme="minorHAnsi"/>
        </w:rPr>
        <w:t xml:space="preserve">40,000 gallons in size that store primarily gasoline, ethanol, or methyl-tertiary-butyl-ether </w:t>
      </w:r>
      <w:r>
        <w:rPr>
          <w:rFonts w:asciiTheme="minorHAnsi" w:hAnsiTheme="minorHAnsi"/>
        </w:rPr>
        <w:lastRenderedPageBreak/>
        <w:t xml:space="preserve">(MTBE). The larger the tank and the higher the vapor pressure of the stored contents, the lower the cleaning cost per ton of emissions. </w:t>
      </w:r>
    </w:p>
    <w:p w:rsidR="0084709A" w:rsidRDefault="0084709A" w:rsidP="0084709A">
      <w:pPr>
        <w:autoSpaceDE w:val="0"/>
        <w:autoSpaceDN w:val="0"/>
        <w:adjustRightInd w:val="0"/>
        <w:spacing w:after="120"/>
        <w:ind w:left="360"/>
        <w:jc w:val="both"/>
        <w:rPr>
          <w:rFonts w:asciiTheme="minorHAnsi" w:hAnsiTheme="minorHAnsi"/>
        </w:rPr>
      </w:pPr>
      <w:r>
        <w:rPr>
          <w:rFonts w:asciiTheme="minorHAnsi" w:hAnsiTheme="minorHAnsi"/>
        </w:rPr>
        <w:t>In New Jersey, the NJDEP expects costs for inspections to be minimal because most owners or operators are already required to perform inspections under Federal NSPS regulations and/or MACT regulations. The proposed inspection requirements can be performed concurrently with other inspections.</w:t>
      </w:r>
    </w:p>
    <w:p w:rsidR="0084709A" w:rsidRDefault="0084709A" w:rsidP="0084709A">
      <w:pPr>
        <w:autoSpaceDE w:val="0"/>
        <w:autoSpaceDN w:val="0"/>
        <w:adjustRightInd w:val="0"/>
        <w:spacing w:after="120"/>
        <w:ind w:left="360"/>
        <w:jc w:val="both"/>
        <w:rPr>
          <w:rFonts w:asciiTheme="minorHAnsi" w:hAnsiTheme="minorHAnsi"/>
          <w:sz w:val="22"/>
        </w:rPr>
      </w:pPr>
      <w:r>
        <w:rPr>
          <w:rFonts w:asciiTheme="minorHAnsi" w:hAnsiTheme="minorHAnsi"/>
        </w:rPr>
        <w:t>The proposed new rules and amendments may have a small effect on gasoline prices at the pump.  The NJDEP estimated that the overall annualized compliance cost to this industry in its entirety would be a maximum of $58,000,000 for 2,000 tpy of VOC reductions in 2018. In 2006 the throughput of gasoline in these tanks exceeded 10 billion gallons. Based on that figure, if owners or operators of VOC stationary storage tanks choose to pass on the compliance costs to distributors and retailers, the Department expects gasoline prices at the pump to increase less than $0.01 per</w:t>
      </w:r>
      <w:r>
        <w:rPr>
          <w:rFonts w:asciiTheme="minorHAnsi" w:hAnsiTheme="minorHAnsi"/>
          <w:sz w:val="22"/>
        </w:rPr>
        <w:t xml:space="preserve"> gallon. Distributors and retailers may be impacted if the potential increase in costs of gasoline increases their expenses and dampens demand.</w:t>
      </w:r>
    </w:p>
    <w:p w:rsidR="0084709A" w:rsidRDefault="00B31F10" w:rsidP="00B31F10">
      <w:pPr>
        <w:pStyle w:val="Heading3"/>
        <w:rPr>
          <w:szCs w:val="22"/>
        </w:rPr>
      </w:pPr>
      <w:bookmarkStart w:id="48" w:name="_Toc459898985"/>
      <w:bookmarkStart w:id="49" w:name="_Toc461020943"/>
      <w:bookmarkStart w:id="50" w:name="_Toc461025607"/>
      <w:bookmarkStart w:id="51" w:name="_Toc461025820"/>
      <w:bookmarkStart w:id="52" w:name="_Toc461027086"/>
      <w:r>
        <w:t>2</w:t>
      </w:r>
      <w:r w:rsidR="0084709A">
        <w:t>.1.5</w:t>
      </w:r>
      <w:r w:rsidR="0084709A">
        <w:tab/>
      </w:r>
      <w:r>
        <w:tab/>
      </w:r>
      <w:r w:rsidR="0084709A">
        <w:t>Emissions Reduction Benefits for Other Pollutants</w:t>
      </w:r>
      <w:bookmarkEnd w:id="48"/>
      <w:bookmarkEnd w:id="49"/>
      <w:bookmarkEnd w:id="50"/>
      <w:bookmarkEnd w:id="51"/>
      <w:bookmarkEnd w:id="52"/>
    </w:p>
    <w:p w:rsidR="0084709A" w:rsidRDefault="0084709A" w:rsidP="0084709A">
      <w:pPr>
        <w:autoSpaceDE w:val="0"/>
        <w:autoSpaceDN w:val="0"/>
        <w:adjustRightInd w:val="0"/>
        <w:spacing w:after="120"/>
        <w:ind w:left="360"/>
        <w:jc w:val="both"/>
        <w:rPr>
          <w:rFonts w:asciiTheme="minorHAnsi" w:hAnsiTheme="minorHAnsi"/>
          <w:i/>
        </w:rPr>
      </w:pPr>
      <w:r>
        <w:rPr>
          <w:rFonts w:asciiTheme="minorHAnsi" w:hAnsiTheme="minorHAnsi"/>
        </w:rPr>
        <w:t>The OTC model rule will also reduce other VOC Hazardous Air Pollutants (HAPs), such as Benzene.  Since VOC can be a precursor to Particulate Matter of 2.5 microns in size (PM</w:t>
      </w:r>
      <w:r>
        <w:rPr>
          <w:rFonts w:asciiTheme="minorHAnsi" w:hAnsiTheme="minorHAnsi"/>
          <w:vertAlign w:val="subscript"/>
        </w:rPr>
        <w:t>2.5</w:t>
      </w:r>
      <w:r>
        <w:rPr>
          <w:rFonts w:asciiTheme="minorHAnsi" w:hAnsiTheme="minorHAnsi"/>
        </w:rPr>
        <w:t xml:space="preserve">), the levels of that pollutant may be reduced as well.  </w:t>
      </w:r>
    </w:p>
    <w:p w:rsidR="0084709A" w:rsidRDefault="00B31F10" w:rsidP="00B31F10">
      <w:pPr>
        <w:pStyle w:val="Heading2"/>
      </w:pPr>
      <w:bookmarkStart w:id="53" w:name="_Toc459898986"/>
      <w:bookmarkStart w:id="54" w:name="_Toc461020944"/>
      <w:bookmarkStart w:id="55" w:name="_Toc461025608"/>
      <w:bookmarkStart w:id="56" w:name="_Toc461025821"/>
      <w:bookmarkStart w:id="57" w:name="_Toc461027087"/>
      <w:r>
        <w:t>2</w:t>
      </w:r>
      <w:r w:rsidR="0084709A">
        <w:t>.2</w:t>
      </w:r>
      <w:r w:rsidR="0084709A">
        <w:tab/>
        <w:t>Consumer Products</w:t>
      </w:r>
      <w:bookmarkEnd w:id="53"/>
      <w:bookmarkEnd w:id="54"/>
      <w:bookmarkEnd w:id="55"/>
      <w:bookmarkEnd w:id="56"/>
      <w:bookmarkEnd w:id="57"/>
    </w:p>
    <w:p w:rsidR="0084709A" w:rsidRDefault="00B31F10" w:rsidP="00B31F10">
      <w:pPr>
        <w:pStyle w:val="Heading3"/>
      </w:pPr>
      <w:bookmarkStart w:id="58" w:name="_Toc459898987"/>
      <w:bookmarkStart w:id="59" w:name="_Ref457549588"/>
      <w:bookmarkStart w:id="60" w:name="_Ref456695057"/>
      <w:bookmarkStart w:id="61" w:name="_Toc461020945"/>
      <w:bookmarkStart w:id="62" w:name="_Toc461025609"/>
      <w:bookmarkStart w:id="63" w:name="_Toc461025822"/>
      <w:bookmarkStart w:id="64" w:name="_Toc461027088"/>
      <w:r>
        <w:t>2</w:t>
      </w:r>
      <w:r w:rsidR="0084709A">
        <w:t>.2.1</w:t>
      </w:r>
      <w:r w:rsidR="0084709A">
        <w:tab/>
      </w:r>
      <w:r>
        <w:tab/>
      </w:r>
      <w:r w:rsidR="0084709A">
        <w:t>Federal Standards</w:t>
      </w:r>
      <w:bookmarkEnd w:id="58"/>
      <w:bookmarkEnd w:id="59"/>
      <w:bookmarkEnd w:id="60"/>
      <w:bookmarkEnd w:id="61"/>
      <w:bookmarkEnd w:id="62"/>
      <w:bookmarkEnd w:id="63"/>
      <w:bookmarkEnd w:id="64"/>
    </w:p>
    <w:p w:rsidR="0084709A" w:rsidRDefault="0084709A" w:rsidP="0084709A">
      <w:pPr>
        <w:pStyle w:val="NoSpacing"/>
        <w:spacing w:after="120"/>
        <w:ind w:left="360"/>
        <w:jc w:val="both"/>
        <w:rPr>
          <w:rFonts w:asciiTheme="minorHAnsi" w:hAnsiTheme="minorHAnsi"/>
        </w:rPr>
      </w:pPr>
      <w:r>
        <w:rPr>
          <w:rFonts w:asciiTheme="minorHAnsi" w:hAnsiTheme="minorHAnsi"/>
        </w:rPr>
        <w:t>On September 11, 1998 EPA published their final consumer products rule as 40 CFR Part 59, Subpart C, Part 59 in the Federal Register.  The rule regulated 24 product categories representing 48 percent of the consumer products inventory, nationally, and reduced VOC emissions from that inventory by 20 percent.  The national rule was based on existing CARB rules, but not as stringent.</w:t>
      </w:r>
    </w:p>
    <w:p w:rsidR="0084709A" w:rsidRDefault="00B31F10" w:rsidP="00B31F10">
      <w:pPr>
        <w:pStyle w:val="Heading3"/>
      </w:pPr>
      <w:bookmarkStart w:id="65" w:name="_Toc459898988"/>
      <w:bookmarkStart w:id="66" w:name="_Toc461020946"/>
      <w:bookmarkStart w:id="67" w:name="_Toc461025610"/>
      <w:bookmarkStart w:id="68" w:name="_Toc461025823"/>
      <w:bookmarkStart w:id="69" w:name="_Toc461027089"/>
      <w:r>
        <w:t>2</w:t>
      </w:r>
      <w:r w:rsidR="0084709A">
        <w:t>.2.2</w:t>
      </w:r>
      <w:r w:rsidR="0084709A">
        <w:tab/>
      </w:r>
      <w:r>
        <w:tab/>
      </w:r>
      <w:r w:rsidR="0084709A">
        <w:t>OTC Model Rule</w:t>
      </w:r>
      <w:bookmarkEnd w:id="65"/>
      <w:bookmarkEnd w:id="66"/>
      <w:bookmarkEnd w:id="67"/>
      <w:bookmarkEnd w:id="68"/>
      <w:bookmarkEnd w:id="69"/>
      <w:r w:rsidR="0084709A">
        <w:t xml:space="preserve"> </w:t>
      </w:r>
    </w:p>
    <w:p w:rsidR="0084709A" w:rsidRDefault="0084709A" w:rsidP="0084709A">
      <w:pPr>
        <w:spacing w:after="120"/>
        <w:ind w:left="360"/>
        <w:jc w:val="both"/>
        <w:rPr>
          <w:rFonts w:asciiTheme="minorHAnsi" w:hAnsiTheme="minorHAnsi"/>
        </w:rPr>
      </w:pPr>
      <w:r>
        <w:rPr>
          <w:rFonts w:asciiTheme="minorHAnsi" w:hAnsiTheme="minorHAnsi"/>
        </w:rPr>
        <w:t>The consumer products rules limit the VOC content of products that they regulate.  The rules aim to achieve VOC reductions through reformulation of the affected product categories by the manufacturers. This may involve switching to a water-based formulation, using exempt VOC solvents, increasing product solids, or formulating with a non-VOC component.  Manufacturers can also comply with the proposed model rule through the use of Innovative Products Exemption (IPE) or the Alternate Control Plan (ACP).   The model rule for consumer products would apply to anyone who sells, supplies, offer for sale, or manufactures consumer products for use in a state or region.  The rule applies to a vast range of consumer products that are used across the country.</w:t>
      </w:r>
      <w:r w:rsidR="0060782B" w:rsidRPr="0060782B">
        <w:rPr>
          <w:noProof/>
        </w:rPr>
        <w:t xml:space="preserve"> </w:t>
      </w:r>
      <w:r w:rsidR="0060782B">
        <w:rPr>
          <w:noProof/>
        </w:rPr>
        <mc:AlternateContent>
          <mc:Choice Requires="wps">
            <w:drawing>
              <wp:anchor distT="0" distB="0" distL="114300" distR="114300" simplePos="0" relativeHeight="251689984" behindDoc="0" locked="1" layoutInCell="1" allowOverlap="0" wp14:anchorId="37F0C09B" wp14:editId="2A19CA42">
                <wp:simplePos x="0" y="0"/>
                <wp:positionH relativeFrom="margin">
                  <wp:posOffset>2943225</wp:posOffset>
                </wp:positionH>
                <wp:positionV relativeFrom="bottomMargin">
                  <wp:posOffset>160655</wp:posOffset>
                </wp:positionV>
                <wp:extent cx="914400" cy="23749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237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782B" w:rsidRDefault="0060782B" w:rsidP="0060782B">
                            <w:pPr>
                              <w:ind w:right="60"/>
                              <w:rPr>
                                <w:rFonts w:asciiTheme="minorHAnsi" w:hAnsiTheme="minorHAnsi"/>
                                <w:sz w:val="20"/>
                                <w:szCs w:val="20"/>
                              </w:rPr>
                            </w:pPr>
                            <w:hyperlink w:anchor="TOC" w:history="1">
                              <w:r>
                                <w:rPr>
                                  <w:rStyle w:val="Hyperlink"/>
                                  <w:sz w:val="20"/>
                                  <w:szCs w:val="20"/>
                                </w:rPr>
                                <w:t>Back to TOC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0C09B" id="Text Box 21" o:spid="_x0000_s1032" type="#_x0000_t202" style="position:absolute;left:0;text-align:left;margin-left:231.75pt;margin-top:12.65pt;width:1in;height:18.7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7rJlAIAAKwFAAAOAAAAZHJzL2Uyb0RvYy54bWysVEtPGzEQvlfqf7B8L5uEAGXFBqUgqkoR&#10;oIaKs+O1iYXtcW0nu+mvZ+zdPKBcqHrZtT3fvL+Zi8vWaLIWPiiwFR0eDSgRlkOt7FNFfz3cfPlK&#10;SYjM1kyDFRXdiEAvJ58/XTSuFCNYgq6FJ2jEhrJxFV3G6MqiCHwpDAtH4IRFoQRvWMSrfypqzxq0&#10;bnQxGgxOiwZ87TxwEQK+XndCOsn2pRQ83kkZRCS6ohhbzF+fv4v0LSYXrHzyzC0V78Ng/xCFYcqi&#10;052paxYZWXn1lymjuIcAMh5xMAVIqbjIOWA2w8GbbOZL5kTOBYsT3K5M4f+Z5bfre09UXdHRkBLL&#10;DPboQbSRfIOW4BPWp3GhRNjcITC2+I59zrkGNwP+HBBSHGA6hYDoVI9WepP+mClBRWzBZlf25Ibj&#10;4/lwPB6ghKNodHw2Ps9tKfbKzof4XYAh6VBRj13NAbD1LMTknpVbSPIVQKv6RmmdL4lJ4kp7smbI&#10;AR1zTqjxCqUtaSp6enwyyIYtJPXOsrbJjMhc6t2lbLsE8ylutEgYbX8KibXMeb7jm3Eu7M5/RieU&#10;RFcfUezx+6g+otzlgRrZM9i4UzbKgu/6+rpk9fO2ZLLD9/0OXd6pBLFdtJlEw9y69LSAeoOE8dCN&#10;XHD8RmH3ZizEe+ZxxrDhuDfiHX6kBqw+9CdKluD/vPee8Eh9lFLS4MxWNPxeMS8o0T8sDkUmEg55&#10;voxPzkbowx9KFocSuzJXgJRA3mN0+ZjwUW+P0oN5xPUyTV5RxCxH3xWN2+NV7DYJricuptMMwrF2&#10;LM7s3PHtnCRuPrSPzLuewBGZfwvb6WblGx532NQgC9NVBKkyyfdV7RuAKyFzv19faecc3jNqv2Qn&#10;LwAAAP//AwBQSwMEFAAGAAgAAAAhAAfQ2LvfAAAACQEAAA8AAABkcnMvZG93bnJldi54bWxMjz1v&#10;wjAQhvdK/Q/WVeqCikMoAaVxUFUVCQaGpl3YTHwkUeNzZBtI/32vU9nu49F7zxXr0fbigj50jhTM&#10;pgkIpNqZjhoFX5+bpxWIEDUZ3TtCBT8YYF3e3xU6N+5KH3ipYiM4hEKuFbQxDrmUoW7R6jB1AxLv&#10;Ts5bHbn1jTReXznc9jJNkkxa3RFfaPWAby3W39XZKtiHw3Zy8NvNpApG7hD377tZVOrxYXx9ARFx&#10;jP8w/OmzOpTsdHRnMkH0Cp6z+YJRBeliDoKBLFny4MhFugRZFvL2g/IXAAD//wMAUEsBAi0AFAAG&#10;AAgAAAAhALaDOJL+AAAA4QEAABMAAAAAAAAAAAAAAAAAAAAAAFtDb250ZW50X1R5cGVzXS54bWxQ&#10;SwECLQAUAAYACAAAACEAOP0h/9YAAACUAQAACwAAAAAAAAAAAAAAAAAvAQAAX3JlbHMvLnJlbHNQ&#10;SwECLQAUAAYACAAAACEAure6yZQCAACsBQAADgAAAAAAAAAAAAAAAAAuAgAAZHJzL2Uyb0RvYy54&#10;bWxQSwECLQAUAAYACAAAACEAB9DYu98AAAAJAQAADwAAAAAAAAAAAAAAAADuBAAAZHJzL2Rvd25y&#10;ZXYueG1sUEsFBgAAAAAEAAQA8wAAAPoFAAAAAA==&#10;" o:allowoverlap="f" fillcolor="white [3201]" stroked="f" strokeweight=".5pt">
                <v:path arrowok="t"/>
                <v:textbox>
                  <w:txbxContent>
                    <w:p w:rsidR="0060782B" w:rsidRDefault="0060782B" w:rsidP="0060782B">
                      <w:pPr>
                        <w:ind w:right="60"/>
                        <w:rPr>
                          <w:rFonts w:asciiTheme="minorHAnsi" w:hAnsiTheme="minorHAnsi"/>
                          <w:sz w:val="20"/>
                          <w:szCs w:val="20"/>
                        </w:rPr>
                      </w:pPr>
                      <w:hyperlink w:anchor="TOC" w:history="1">
                        <w:r>
                          <w:rPr>
                            <w:rStyle w:val="Hyperlink"/>
                            <w:sz w:val="20"/>
                            <w:szCs w:val="20"/>
                          </w:rPr>
                          <w:t>Back to TOC</w:t>
                        </w:r>
                      </w:hyperlink>
                    </w:p>
                  </w:txbxContent>
                </v:textbox>
                <w10:wrap anchorx="margin" anchory="margin"/>
                <w10:anchorlock/>
              </v:shape>
            </w:pict>
          </mc:Fallback>
        </mc:AlternateContent>
      </w:r>
    </w:p>
    <w:p w:rsidR="0084709A" w:rsidRDefault="0084709A" w:rsidP="0084709A">
      <w:pPr>
        <w:pStyle w:val="CM22"/>
        <w:spacing w:after="120" w:line="240" w:lineRule="auto"/>
        <w:ind w:left="360"/>
        <w:jc w:val="both"/>
        <w:rPr>
          <w:rFonts w:asciiTheme="minorHAnsi" w:hAnsiTheme="minorHAnsi"/>
        </w:rPr>
      </w:pPr>
      <w:r>
        <w:rPr>
          <w:rFonts w:asciiTheme="minorHAnsi" w:hAnsiTheme="minorHAnsi"/>
          <w:color w:val="000000"/>
        </w:rPr>
        <w:lastRenderedPageBreak/>
        <w:t>The OTC consumer products model rule revisions of June 3, 2010</w:t>
      </w:r>
      <w:r>
        <w:rPr>
          <w:rStyle w:val="FootnoteReference"/>
          <w:rFonts w:asciiTheme="minorHAnsi" w:hAnsiTheme="minorHAnsi"/>
        </w:rPr>
        <w:footnoteReference w:id="4"/>
      </w:r>
      <w:r>
        <w:rPr>
          <w:rFonts w:asciiTheme="minorHAnsi" w:hAnsiTheme="minorHAnsi"/>
          <w:color w:val="000000"/>
        </w:rPr>
        <w:t xml:space="preserve"> (rule limit effective date of 2014) or OTC consumer products model rule Phase 3, are based on the California Air Resources Board’s (</w:t>
      </w:r>
      <w:r>
        <w:rPr>
          <w:rFonts w:asciiTheme="minorHAnsi" w:hAnsiTheme="minorHAnsi"/>
        </w:rPr>
        <w:t>CARB) 2006 Consumer Products Regulatory Amendments. These rules, which exclude windshield wiper fluids and oven cleaners, cover two product categories (anti-static products and shaving gels) from CARB’S 2004 amendments,  and one category (nail polish removers, although regulated differently in the OTC due to the definition of VOC) from their 1999 amendments that was revised in 2006.  The majority of the CARB limits had an effective date of December 31, 2008 or earlier with one being effective on 12/31/2009, and three on December 31, 2010. On June 3, 2010, the OTC adopted a Resolution wherein member states agreed to pursue, as necessary and appropriate, state-specific rulemakings to update state rules in accordance with the 2010 OTC Consumer Products Model Rule.</w:t>
      </w:r>
      <w:r>
        <w:rPr>
          <w:rStyle w:val="FootnoteReference"/>
          <w:rFonts w:asciiTheme="minorHAnsi" w:hAnsiTheme="minorHAnsi"/>
        </w:rPr>
        <w:footnoteReference w:id="5"/>
      </w:r>
      <w:r>
        <w:rPr>
          <w:rFonts w:asciiTheme="minorHAnsi" w:hAnsiTheme="minorHAnsi"/>
        </w:rPr>
        <w:t xml:space="preserve"> </w:t>
      </w:r>
    </w:p>
    <w:p w:rsidR="0084709A" w:rsidRDefault="0084709A" w:rsidP="0084709A">
      <w:pPr>
        <w:pStyle w:val="CM22"/>
        <w:spacing w:after="120" w:line="240" w:lineRule="auto"/>
        <w:ind w:left="360"/>
        <w:jc w:val="both"/>
        <w:rPr>
          <w:rFonts w:asciiTheme="minorHAnsi" w:hAnsiTheme="minorHAnsi"/>
        </w:rPr>
      </w:pPr>
      <w:r>
        <w:rPr>
          <w:rFonts w:asciiTheme="minorHAnsi" w:hAnsiTheme="minorHAnsi"/>
        </w:rPr>
        <w:t>The 2010 OTC model rule amendments have more restrictive VOC limits for 14 existing consumer product categories (15, including subcategories),</w:t>
      </w:r>
      <w:r>
        <w:rPr>
          <w:rFonts w:asciiTheme="minorHAnsi" w:hAnsiTheme="minorHAnsi"/>
          <w:vertAlign w:val="superscript"/>
        </w:rPr>
        <w:t xml:space="preserve"> </w:t>
      </w:r>
      <w:r>
        <w:rPr>
          <w:rFonts w:asciiTheme="minorHAnsi" w:hAnsiTheme="minorHAnsi"/>
        </w:rPr>
        <w:t>and 3 new categories (5, including subcategories; disinfectant, sanitizer, and temporary hair color) will be regulated for the first time with VOC limits. Hand sanitizers were not included in CARB’s amendments because representatives from the Centers for Disease Control (CDC), California’s Department of Health Services (DHS), and the Food and Drug Administration (FDA) indicated that regulating hand sanitizers would not be appropriate. The CARB amendments also clarified or modified previously defined or regulated categories and included a prohibition on the use of chlorinated toxic compounds in certain consumer product categories</w:t>
      </w:r>
      <w:r>
        <w:rPr>
          <w:rFonts w:asciiTheme="minorHAnsi" w:hAnsiTheme="minorHAnsi"/>
          <w:sz w:val="22"/>
          <w:szCs w:val="22"/>
        </w:rPr>
        <w:t xml:space="preserve"> </w:t>
      </w:r>
      <w:r>
        <w:rPr>
          <w:rFonts w:asciiTheme="minorHAnsi" w:hAnsiTheme="minorHAnsi"/>
        </w:rPr>
        <w:t>(construction, panel, and floor covering, oven cleaner, general purpose cleaner, and bathroom and tile cleaner).</w:t>
      </w:r>
    </w:p>
    <w:p w:rsidR="0084709A" w:rsidRDefault="0084709A" w:rsidP="0084709A">
      <w:pPr>
        <w:spacing w:after="120"/>
        <w:ind w:left="360"/>
        <w:jc w:val="both"/>
        <w:rPr>
          <w:rFonts w:asciiTheme="minorHAnsi" w:hAnsiTheme="minorHAnsi"/>
        </w:rPr>
      </w:pPr>
      <w:r>
        <w:rPr>
          <w:rFonts w:asciiTheme="minorHAnsi" w:hAnsiTheme="minorHAnsi"/>
        </w:rPr>
        <w:t>The OTC revised the 2010 model rule on May 10, 2012</w:t>
      </w:r>
      <w:r>
        <w:rPr>
          <w:rStyle w:val="FootnoteReference"/>
          <w:rFonts w:asciiTheme="minorHAnsi" w:hAnsiTheme="minorHAnsi"/>
        </w:rPr>
        <w:footnoteReference w:id="6"/>
      </w:r>
      <w:r>
        <w:rPr>
          <w:rFonts w:asciiTheme="minorHAnsi" w:hAnsiTheme="minorHAnsi"/>
        </w:rPr>
        <w:t xml:space="preserve">  (OTC model rule Phase 4) to include CARB’s limits for multi-purpose solvents and paint thinners </w:t>
      </w:r>
      <w:r>
        <w:rPr>
          <w:rFonts w:asciiTheme="minorHAnsi" w:hAnsiTheme="minorHAnsi"/>
          <w:color w:val="000000"/>
        </w:rPr>
        <w:t>based on the C</w:t>
      </w:r>
      <w:r>
        <w:rPr>
          <w:rFonts w:asciiTheme="minorHAnsi" w:hAnsiTheme="minorHAnsi"/>
        </w:rPr>
        <w:t>ARB 2009 Consumer Products Regulatory Amendments. Then the OTC revised the model rule again on May 21, 2013</w:t>
      </w:r>
      <w:r>
        <w:rPr>
          <w:rStyle w:val="FootnoteReference"/>
          <w:rFonts w:asciiTheme="minorHAnsi" w:hAnsiTheme="minorHAnsi"/>
        </w:rPr>
        <w:footnoteReference w:id="7"/>
      </w:r>
      <w:r>
        <w:rPr>
          <w:rFonts w:asciiTheme="minorHAnsi" w:hAnsiTheme="minorHAnsi"/>
        </w:rPr>
        <w:t xml:space="preserve"> with a minor amendment that did not affect emissions calculations. The "dual purpose air freshener/disinfectant, aerosol" category was added to the OTC model rule to make it consistent with the CARB Consumer Product rule.  The dual purpose air freshener/disinfectant category had been regulated in California since 1994 at a 60% VOC limit. </w:t>
      </w:r>
    </w:p>
    <w:p w:rsidR="0084709A" w:rsidRDefault="0084709A" w:rsidP="0084709A">
      <w:pPr>
        <w:spacing w:after="60"/>
        <w:ind w:left="360"/>
        <w:jc w:val="both"/>
        <w:rPr>
          <w:rFonts w:asciiTheme="minorHAnsi" w:hAnsiTheme="minorHAnsi"/>
        </w:rPr>
      </w:pPr>
      <w:r>
        <w:rPr>
          <w:rFonts w:asciiTheme="minorHAnsi" w:hAnsiTheme="minorHAnsi"/>
        </w:rPr>
        <w:t>Additional minor administrative amendments to the May 12, 2013 OTC model rule are being drafted.  The revised model rule will be posted on the OTC website when complete at:</w:t>
      </w:r>
    </w:p>
    <w:p w:rsidR="0084709A" w:rsidRDefault="0060782B" w:rsidP="0084709A">
      <w:pPr>
        <w:spacing w:after="120"/>
        <w:ind w:left="360"/>
        <w:jc w:val="both"/>
        <w:rPr>
          <w:rFonts w:asciiTheme="minorHAnsi" w:hAnsiTheme="minorHAnsi"/>
        </w:rPr>
      </w:pPr>
      <w:r>
        <w:rPr>
          <w:noProof/>
        </w:rPr>
        <mc:AlternateContent>
          <mc:Choice Requires="wps">
            <w:drawing>
              <wp:anchor distT="0" distB="0" distL="114300" distR="114300" simplePos="0" relativeHeight="251692032" behindDoc="0" locked="1" layoutInCell="1" allowOverlap="0" wp14:anchorId="37F0C09B" wp14:editId="2A19CA42">
                <wp:simplePos x="0" y="0"/>
                <wp:positionH relativeFrom="margin">
                  <wp:posOffset>2857500</wp:posOffset>
                </wp:positionH>
                <wp:positionV relativeFrom="bottomMargin">
                  <wp:posOffset>1953895</wp:posOffset>
                </wp:positionV>
                <wp:extent cx="914400" cy="23749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237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782B" w:rsidRDefault="0060782B" w:rsidP="0060782B">
                            <w:pPr>
                              <w:ind w:right="60"/>
                              <w:rPr>
                                <w:rFonts w:asciiTheme="minorHAnsi" w:hAnsiTheme="minorHAnsi"/>
                                <w:sz w:val="20"/>
                                <w:szCs w:val="20"/>
                              </w:rPr>
                            </w:pPr>
                            <w:hyperlink w:anchor="TOC" w:history="1">
                              <w:r>
                                <w:rPr>
                                  <w:rStyle w:val="Hyperlink"/>
                                  <w:sz w:val="20"/>
                                  <w:szCs w:val="20"/>
                                </w:rPr>
                                <w:t>Back to TOC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0C09B" id="Text Box 22" o:spid="_x0000_s1033" type="#_x0000_t202" style="position:absolute;left:0;text-align:left;margin-left:225pt;margin-top:153.85pt;width:1in;height:18.7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VDVlgIAAKwFAAAOAAAAZHJzL2Uyb0RvYy54bWysVN9PGzEMfp+0/yHK+7i2FBgnrqgDMU2q&#10;AK1MPKe5hEYkcZakvev+epzc9QeMF6a93CX2Zzu2P/visjWarIUPCmxFh0cDSoTlUCv7VNFfDzdf&#10;vlISIrM102BFRTci0MvJ508XjSvFCJaga+EJOrGhbFxFlzG6sigCXwrDwhE4YVEpwRsW8eqfitqz&#10;Br0bXYwGg9OiAV87D1yEgNLrTkkn2b+Ugsc7KYOIRFcU3xbz1+fvIn2LyQUrnzxzS8X7Z7B/eIVh&#10;ymLQnatrFhlZefWXK6O4hwAyHnEwBUipuMg5YDbDwZts5kvmRM4FixPcrkzh/7nlt+t7T1Rd0dGI&#10;EssM9uhBtJF8g5agCOvTuFAibO4QGFuUY59zrsHNgD8HhBQHmM4gIDrVo5XepD9mStAQW7DZlT2F&#10;4Sg8H47HA9RwVI2Oz8bnuS3F3tj5EL8LMCQdKuqxq/kBbD0LMYVn5RaSYgXQqr5RWudLYpK40p6s&#10;GXJAx2HKCS1eobQlTUVPj08G2bGFZN7htE1uROZSHy5l2yWYT3GjRcJo+1NIrGXO853YjHNhd/Ez&#10;OqEkhvqIYY/fv+ojxl0eaJEjg407Y6Ms+K6vr0tWP29LJjt83+/Q5Z1KENtFm0k0zNAkWkC9QcJ4&#10;6EYuOH6jsHszFuI98zhj2HDcG/EOP1IDVh/6EyVL8H/ekyc8Uh+1lDQ4sxUNv1fMC0r0D4tDkYmE&#10;Q54v45OzEcbwh5rFocauzBUgJYa4oRzPx4SPenuUHswjrpdpiooqZjnGrmjcHq9it0lwPXExnWYQ&#10;jrVjcWbnjm/nJHHzoX1k3vUEjsj8W9hONyvf8LjDpgZZmK4iSJVJvq9q3wBcCZnJ/fpKO+fwnlH7&#10;JTt5AQAA//8DAFBLAwQUAAYACAAAACEAznQgjeEAAAALAQAADwAAAGRycy9kb3ducmV2LnhtbEyP&#10;wU7DMBBE75X4B2uRuFTUDiQUQpwKISq1hx4IXHpz4yWJiNdR7Lbh77uc4Lizo5k3xWpyvTjhGDpP&#10;GpKFAoFUe9tRo+HzY337CCJEQ9b0nlDDDwZYlVezwuTWn+kdT1VsBIdQyI2GNsYhlzLULToTFn5A&#10;4t+XH52JfI6NtKM5c7jr5Z1SD9KZjrihNQO+tlh/V0enYRf2m/l+3KznVbByi7h72yZR65vr6eUZ&#10;RMQp/pnhF5/RoWSmgz+SDaLXkGaKt0QN92q5BMGO7Cll5cBKmiUgy0L+31BeAAAA//8DAFBLAQIt&#10;ABQABgAIAAAAIQC2gziS/gAAAOEBAAATAAAAAAAAAAAAAAAAAAAAAABbQ29udGVudF9UeXBlc10u&#10;eG1sUEsBAi0AFAAGAAgAAAAhADj9If/WAAAAlAEAAAsAAAAAAAAAAAAAAAAALwEAAF9yZWxzLy5y&#10;ZWxzUEsBAi0AFAAGAAgAAAAhAJ+9UNWWAgAArAUAAA4AAAAAAAAAAAAAAAAALgIAAGRycy9lMm9E&#10;b2MueG1sUEsBAi0AFAAGAAgAAAAhAM50II3hAAAACwEAAA8AAAAAAAAAAAAAAAAA8AQAAGRycy9k&#10;b3ducmV2LnhtbFBLBQYAAAAABAAEAPMAAAD+BQAAAAA=&#10;" o:allowoverlap="f" fillcolor="white [3201]" stroked="f" strokeweight=".5pt">
                <v:path arrowok="t"/>
                <v:textbox>
                  <w:txbxContent>
                    <w:p w:rsidR="0060782B" w:rsidRDefault="0060782B" w:rsidP="0060782B">
                      <w:pPr>
                        <w:ind w:right="60"/>
                        <w:rPr>
                          <w:rFonts w:asciiTheme="minorHAnsi" w:hAnsiTheme="minorHAnsi"/>
                          <w:sz w:val="20"/>
                          <w:szCs w:val="20"/>
                        </w:rPr>
                      </w:pPr>
                      <w:hyperlink w:anchor="TOC" w:history="1">
                        <w:r>
                          <w:rPr>
                            <w:rStyle w:val="Hyperlink"/>
                            <w:sz w:val="20"/>
                            <w:szCs w:val="20"/>
                          </w:rPr>
                          <w:t>Back to TOC</w:t>
                        </w:r>
                      </w:hyperlink>
                    </w:p>
                  </w:txbxContent>
                </v:textbox>
                <w10:wrap anchorx="margin" anchory="margin"/>
                <w10:anchorlock/>
              </v:shape>
            </w:pict>
          </mc:Fallback>
        </mc:AlternateContent>
      </w:r>
      <w:hyperlink r:id="rId10" w:history="1">
        <w:r w:rsidR="0084709A">
          <w:rPr>
            <w:rStyle w:val="Hyperlink"/>
          </w:rPr>
          <w:t>http://www.otcair.org/document.asp?fview=modelrules</w:t>
        </w:r>
      </w:hyperlink>
    </w:p>
    <w:p w:rsidR="0084709A" w:rsidRDefault="0084709A" w:rsidP="0084709A">
      <w:pPr>
        <w:spacing w:after="120"/>
        <w:ind w:left="360"/>
        <w:jc w:val="both"/>
        <w:rPr>
          <w:rFonts w:asciiTheme="minorHAnsi" w:hAnsiTheme="minorHAnsi"/>
        </w:rPr>
      </w:pPr>
      <w:r>
        <w:rPr>
          <w:rFonts w:asciiTheme="minorHAnsi" w:hAnsiTheme="minorHAnsi"/>
        </w:rPr>
        <w:lastRenderedPageBreak/>
        <w:t xml:space="preserve">The CARB and OTC model rules are more stringent for several of the consumer products categories than the USEPA’s National consumer products rule that was adopted in September 1998.  </w:t>
      </w:r>
    </w:p>
    <w:p w:rsidR="0084709A" w:rsidRDefault="00B31F10" w:rsidP="00B31F10">
      <w:pPr>
        <w:pStyle w:val="Heading3"/>
      </w:pPr>
      <w:bookmarkStart w:id="70" w:name="_Toc459898989"/>
      <w:bookmarkStart w:id="71" w:name="_Toc461020947"/>
      <w:bookmarkStart w:id="72" w:name="_Toc461025611"/>
      <w:bookmarkStart w:id="73" w:name="_Toc461025824"/>
      <w:bookmarkStart w:id="74" w:name="_Toc461027090"/>
      <w:r>
        <w:t>2</w:t>
      </w:r>
      <w:r w:rsidR="0084709A">
        <w:t>.2.3</w:t>
      </w:r>
      <w:r w:rsidR="0084709A">
        <w:tab/>
      </w:r>
      <w:r>
        <w:tab/>
      </w:r>
      <w:r w:rsidR="0084709A">
        <w:t>Emissions Reduction Benefit</w:t>
      </w:r>
      <w:bookmarkEnd w:id="70"/>
      <w:bookmarkEnd w:id="71"/>
      <w:bookmarkEnd w:id="72"/>
      <w:bookmarkEnd w:id="73"/>
      <w:bookmarkEnd w:id="74"/>
    </w:p>
    <w:p w:rsidR="0084709A" w:rsidRDefault="0084709A" w:rsidP="0084709A">
      <w:pPr>
        <w:autoSpaceDE w:val="0"/>
        <w:autoSpaceDN w:val="0"/>
        <w:adjustRightInd w:val="0"/>
        <w:spacing w:after="120"/>
        <w:ind w:left="360"/>
        <w:jc w:val="both"/>
        <w:rPr>
          <w:rFonts w:asciiTheme="minorHAnsi" w:hAnsiTheme="minorHAnsi"/>
        </w:rPr>
      </w:pPr>
      <w:r>
        <w:rPr>
          <w:rFonts w:asciiTheme="minorHAnsi" w:hAnsiTheme="minorHAnsi"/>
        </w:rPr>
        <w:t>CARB’s estimated emissions reduction from the categories regulated by the 2010 OTC model rule (2006 CARB amendments, excluding windshield wiper fluids, oven cleaners and nail polish removers, and including two categories from the 2004 CARB amendments, anti-static products and shaving gels) are approximately 10.8 tons per day (tpd) of VOC emission reductions in California by 2010.</w:t>
      </w:r>
    </w:p>
    <w:p w:rsidR="0084709A" w:rsidRDefault="0084709A" w:rsidP="0084709A">
      <w:pPr>
        <w:autoSpaceDE w:val="0"/>
        <w:autoSpaceDN w:val="0"/>
        <w:adjustRightInd w:val="0"/>
        <w:spacing w:after="120"/>
        <w:ind w:left="360"/>
        <w:jc w:val="both"/>
        <w:rPr>
          <w:rFonts w:asciiTheme="minorHAnsi" w:hAnsiTheme="minorHAnsi"/>
        </w:rPr>
      </w:pPr>
      <w:r>
        <w:rPr>
          <w:rFonts w:asciiTheme="minorHAnsi" w:hAnsiTheme="minorHAnsi"/>
        </w:rPr>
        <w:t>CARB also regulates chlorinated toxic compounds (methylene chloride (MC), perchloroethylene (PCE), and trichloroethylene (TCE), in automotive repair consumer products (brake cleaners, carburetor or fuel-injection air intake cleaners, engine degreasers, and general purpose degreasers) in a separate rulemaking.  A portion of the estimated VOC reductions assume that these chlorinated toxic compounds are banned in these products also.  It is estimated that the VOC reductions in the OTC region, based on CARB’s estimates, would be approximately 20 - 27 tpd, depending on whether the chlorinated toxics are banned in all OTC states. This equates to an estimated 4.7% reduction of the total consumer products inventory for states that include CARB’s ban of chlorinated toxic compounds in automotive repair products, and an estimated 3.1% reduction of the total consumer products inventory for states that did not ban such compounds.</w:t>
      </w:r>
    </w:p>
    <w:p w:rsidR="0084709A" w:rsidRDefault="0084709A" w:rsidP="0084709A">
      <w:pPr>
        <w:autoSpaceDE w:val="0"/>
        <w:autoSpaceDN w:val="0"/>
        <w:adjustRightInd w:val="0"/>
        <w:spacing w:after="120"/>
        <w:ind w:left="360"/>
        <w:jc w:val="both"/>
        <w:rPr>
          <w:rFonts w:asciiTheme="minorHAnsi" w:hAnsiTheme="minorHAnsi"/>
        </w:rPr>
      </w:pPr>
      <w:r>
        <w:rPr>
          <w:rFonts w:asciiTheme="minorHAnsi" w:hAnsiTheme="minorHAnsi"/>
        </w:rPr>
        <w:t xml:space="preserve"> The categories regulated by the 2012 OTC model rule (from the 2009 CARB amendments for multi-purpose solvents and paint thinners) are estimated to reduce VOC emissions by approximately 12.3 tpd by 2013 in CA.  It is estimated that the VOC reductions in the OTC region for the 2012 OTC model rule, based on CARB’s estimates, would be approximately 51 tpd which amounts to a 10.3% reduction of the total consumer products inventory, in addition to the reductions from the 2010 model rule discussed above.</w:t>
      </w:r>
    </w:p>
    <w:p w:rsidR="0084709A" w:rsidRDefault="0084709A" w:rsidP="0084709A">
      <w:pPr>
        <w:autoSpaceDE w:val="0"/>
        <w:autoSpaceDN w:val="0"/>
        <w:adjustRightInd w:val="0"/>
        <w:spacing w:after="120"/>
        <w:ind w:left="360"/>
        <w:jc w:val="both"/>
        <w:rPr>
          <w:rFonts w:asciiTheme="minorHAnsi" w:hAnsiTheme="minorHAnsi"/>
        </w:rPr>
      </w:pPr>
      <w:r>
        <w:rPr>
          <w:rFonts w:asciiTheme="minorHAnsi" w:hAnsiTheme="minorHAnsi"/>
        </w:rPr>
        <w:t>Together the OTC 2010 and 2012 model rules are estimated to be a 15% VOC emission reduction of the entire consumer products inventory for states that include CARB’s ban of chlorinated toxic compounds in automotive repair products, and an estimated 13.4% reduction for states that did not ban such compounds.</w:t>
      </w:r>
    </w:p>
    <w:p w:rsidR="0084709A" w:rsidRDefault="0084709A" w:rsidP="0084709A">
      <w:pPr>
        <w:pStyle w:val="NoSpacing"/>
        <w:spacing w:before="200" w:after="200"/>
        <w:ind w:firstLine="288"/>
        <w:rPr>
          <w:rFonts w:asciiTheme="minorHAnsi" w:hAnsiTheme="minorHAnsi"/>
        </w:rPr>
      </w:pPr>
      <w:r>
        <w:rPr>
          <w:rFonts w:asciiTheme="minorHAnsi" w:hAnsiTheme="minorHAnsi"/>
        </w:rPr>
        <w:t xml:space="preserve">The emissions reduction estimates and calculations are provided in </w:t>
      </w:r>
      <w:r>
        <w:rPr>
          <w:rFonts w:asciiTheme="minorHAnsi" w:hAnsiTheme="minorHAnsi"/>
          <w:b/>
        </w:rPr>
        <w:t>Appendix A.</w:t>
      </w:r>
    </w:p>
    <w:p w:rsidR="0084709A" w:rsidRDefault="00B31F10" w:rsidP="00B31F10">
      <w:pPr>
        <w:pStyle w:val="Heading3"/>
      </w:pPr>
      <w:bookmarkStart w:id="75" w:name="_Toc459898990"/>
      <w:bookmarkStart w:id="76" w:name="_Toc461020948"/>
      <w:bookmarkStart w:id="77" w:name="_Toc461025612"/>
      <w:bookmarkStart w:id="78" w:name="_Toc461025825"/>
      <w:bookmarkStart w:id="79" w:name="_Toc461027091"/>
      <w:r>
        <w:t>2</w:t>
      </w:r>
      <w:r w:rsidR="0084709A">
        <w:t>.2.3</w:t>
      </w:r>
      <w:r w:rsidR="0084709A">
        <w:tab/>
      </w:r>
      <w:r>
        <w:tab/>
      </w:r>
      <w:r w:rsidR="0084709A">
        <w:t>Control Cost Estimates</w:t>
      </w:r>
      <w:bookmarkEnd w:id="75"/>
      <w:bookmarkEnd w:id="76"/>
      <w:bookmarkEnd w:id="77"/>
      <w:bookmarkEnd w:id="78"/>
      <w:bookmarkEnd w:id="79"/>
    </w:p>
    <w:p w:rsidR="0084709A" w:rsidRDefault="0084709A" w:rsidP="0084709A">
      <w:pPr>
        <w:pStyle w:val="NoSpacing"/>
        <w:spacing w:after="120"/>
        <w:ind w:left="360"/>
        <w:jc w:val="both"/>
        <w:rPr>
          <w:rFonts w:asciiTheme="minorHAnsi" w:hAnsiTheme="minorHAnsi"/>
        </w:rPr>
      </w:pPr>
      <w:r>
        <w:rPr>
          <w:rFonts w:asciiTheme="minorHAnsi" w:hAnsiTheme="minorHAnsi"/>
        </w:rPr>
        <w:t xml:space="preserve">CARB estimated the cost effectiveness of the proposed VOC limits in the 2010 OTC model rule to be about $2.35 per pound of VOC reduced and the total cost incurred by industry to comply with this regulation to be about $20 million per year. The estimated average increase in cost per unit to the manufacturer to be about $0.06 and CARB expects most manufacturers to be </w:t>
      </w:r>
      <w:r w:rsidR="0060782B">
        <w:rPr>
          <w:noProof/>
        </w:rPr>
        <mc:AlternateContent>
          <mc:Choice Requires="wps">
            <w:drawing>
              <wp:anchor distT="0" distB="0" distL="114300" distR="114300" simplePos="0" relativeHeight="251694080" behindDoc="0" locked="1" layoutInCell="1" allowOverlap="0" wp14:anchorId="37F0C09B" wp14:editId="2A19CA42">
                <wp:simplePos x="0" y="0"/>
                <wp:positionH relativeFrom="margin">
                  <wp:posOffset>2828925</wp:posOffset>
                </wp:positionH>
                <wp:positionV relativeFrom="bottomMargin">
                  <wp:posOffset>148590</wp:posOffset>
                </wp:positionV>
                <wp:extent cx="914400" cy="23749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237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782B" w:rsidRDefault="0060782B" w:rsidP="0060782B">
                            <w:pPr>
                              <w:ind w:right="60"/>
                              <w:rPr>
                                <w:rFonts w:asciiTheme="minorHAnsi" w:hAnsiTheme="minorHAnsi"/>
                                <w:sz w:val="20"/>
                                <w:szCs w:val="20"/>
                              </w:rPr>
                            </w:pPr>
                            <w:hyperlink w:anchor="TOC" w:history="1">
                              <w:r>
                                <w:rPr>
                                  <w:rStyle w:val="Hyperlink"/>
                                  <w:sz w:val="20"/>
                                  <w:szCs w:val="20"/>
                                </w:rPr>
                                <w:t>Back to TOC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0C09B" id="Text Box 23" o:spid="_x0000_s1034" type="#_x0000_t202" style="position:absolute;left:0;text-align:left;margin-left:222.75pt;margin-top:11.7pt;width:1in;height:18.7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ZI2mAIAAKwFAAAOAAAAZHJzL2Uyb0RvYy54bWysVFFPGzEMfp+0/xDlfVxbCowTV9SBmCZV&#10;gAYTz2kuoRFJnCVp77pfj5O7K4XxwrSXOyf+bMf2Z5+dt0aTjfBBga3o+GBEibAcamUfK/rr/urL&#10;V0pCZLZmGqyo6FYEej77/OmscaWYwAp0LTxBJzaUjavoKkZXFkXgK2FYOAAnLColeMMiHv1jUXvW&#10;oHeji8lodFw04GvngYsQ8PayU9JZ9i+l4PFGyiAi0RXFt8X89fm7TN9idsbKR8/cSvH+GewfXmGY&#10;shh05+qSRUbWXv3lyijuIYCMBxxMAVIqLnIOmM149CabuxVzIueCxQluV6bw/9zy682tJ6qu6OSQ&#10;EssM9uhetJF8g5bgFdancaFE2J1DYGzxHvuccw1uAfwpIKTYw3QGAdGpHq30Jv0xU4KG2ILtruwp&#10;DMfL0/F0OkINR9Xk8GR6mttSvBg7H+J3AYYkoaIeu5ofwDaLEFN4Vg6QFCuAVvWV0jofEpPEhfZk&#10;w5ADOo5TTmjxCqUtaSp6fHg0yo4tJPMOp21yIzKX+nAp2y7BLMWtFgmj7U8hsZY5z3diM86F3cXP&#10;6ISSGOojhj3+5VUfMe7yQIscGWzcGRtlwXd9fV2y+mkomezwfb9Dl3cqQWyXbSbReDIwZgn1Fgnj&#10;oRu54PiVwu4tWIi3zOOMYcNxb8Qb/EgNWH3oJUpW4P+8d5/wSH3UUtLgzFY0/F4zLyjRPywORSYS&#10;Dnk+TI9OJhjD72uW+xq7NheAlBjjhnI8iwkf9SBKD+YB18s8RUUVsxxjVzQO4kXsNgmuJy7m8wzC&#10;sXYsLuyd48OcJG7etw/Mu57AEZl/DcN0s/INjztsapCF+TqCVJnkqdBdVfsG4ErITO7XV9o5++eM&#10;elmys2cAAAD//wMAUEsDBBQABgAIAAAAIQD8oZC44AAAAAkBAAAPAAAAZHJzL2Rvd25yZXYueG1s&#10;TI/BTsMwDIbvSLxDZCQuE0s32qmUphNCTNoOO1C47JY1pq1onCrJtvL2mBM72v70+/vL9WQHcUYf&#10;ekcKFvMEBFLjTE+tgs+PzUMOIkRNRg+OUMEPBlhXtzelLoy70Due69gKDqFQaAVdjGMhZWg6tDrM&#10;3YjEty/nrY48+lYary8cbge5TJKVtLon/tDpEV87bL7rk1WwD4ft7OC3m1kdjNwh7t92i6jU/d30&#10;8gwi4hT/YfjTZ3Wo2OnoTmSCGBSkaZYxqmD5mIJgIMufeHFUsEpykFUprxtUvwAAAP//AwBQSwEC&#10;LQAUAAYACAAAACEAtoM4kv4AAADhAQAAEwAAAAAAAAAAAAAAAAAAAAAAW0NvbnRlbnRfVHlwZXNd&#10;LnhtbFBLAQItABQABgAIAAAAIQA4/SH/1gAAAJQBAAALAAAAAAAAAAAAAAAAAC8BAABfcmVscy8u&#10;cmVsc1BLAQItABQABgAIAAAAIQBpBZI2mAIAAKwFAAAOAAAAAAAAAAAAAAAAAC4CAABkcnMvZTJv&#10;RG9jLnhtbFBLAQItABQABgAIAAAAIQD8oZC44AAAAAkBAAAPAAAAAAAAAAAAAAAAAPIEAABkcnMv&#10;ZG93bnJldi54bWxQSwUGAAAAAAQABADzAAAA/wUAAAAA&#10;" o:allowoverlap="f" fillcolor="white [3201]" stroked="f" strokeweight=".5pt">
                <v:path arrowok="t"/>
                <v:textbox>
                  <w:txbxContent>
                    <w:p w:rsidR="0060782B" w:rsidRDefault="0060782B" w:rsidP="0060782B">
                      <w:pPr>
                        <w:ind w:right="60"/>
                        <w:rPr>
                          <w:rFonts w:asciiTheme="minorHAnsi" w:hAnsiTheme="minorHAnsi"/>
                          <w:sz w:val="20"/>
                          <w:szCs w:val="20"/>
                        </w:rPr>
                      </w:pPr>
                      <w:hyperlink w:anchor="TOC" w:history="1">
                        <w:r>
                          <w:rPr>
                            <w:rStyle w:val="Hyperlink"/>
                            <w:sz w:val="20"/>
                            <w:szCs w:val="20"/>
                          </w:rPr>
                          <w:t>Back to TOC</w:t>
                        </w:r>
                      </w:hyperlink>
                    </w:p>
                  </w:txbxContent>
                </v:textbox>
                <w10:wrap anchorx="margin" anchory="margin"/>
                <w10:anchorlock/>
              </v:shape>
            </w:pict>
          </mc:Fallback>
        </mc:AlternateContent>
      </w:r>
      <w:r>
        <w:rPr>
          <w:rFonts w:asciiTheme="minorHAnsi" w:hAnsiTheme="minorHAnsi"/>
        </w:rPr>
        <w:t xml:space="preserve">able to absorb such added cost without an adverse impact on their profitability. </w:t>
      </w:r>
    </w:p>
    <w:p w:rsidR="0084709A" w:rsidRDefault="0084709A" w:rsidP="0084709A">
      <w:pPr>
        <w:pStyle w:val="NoSpacing"/>
        <w:spacing w:after="120"/>
        <w:ind w:left="360"/>
        <w:jc w:val="both"/>
        <w:rPr>
          <w:rFonts w:asciiTheme="minorHAnsi" w:hAnsiTheme="minorHAnsi"/>
        </w:rPr>
      </w:pPr>
      <w:r>
        <w:rPr>
          <w:rFonts w:asciiTheme="minorHAnsi" w:hAnsiTheme="minorHAnsi"/>
        </w:rPr>
        <w:lastRenderedPageBreak/>
        <w:t xml:space="preserve">For the 2012 OTC model rule, CARB estimated the cost effectiveness of the proposed VOC limits for their 2009 amendments (including double phase air fresheners, which are not included in the OTC model rule) to be about $0.29 per pound of VOC reduced which is significantly lower than other control measures for consumer product and paint. The total cost incurred by industry to comply with the products in the OTC model rule (multipurpose solvents and paint thinners) is estimated by CARB to be $2.2 million per year for 10 years.  CARB estimates a potential increase in cost to the consumer of about $0.75 per unit or $1.50 per gallon. </w:t>
      </w:r>
    </w:p>
    <w:p w:rsidR="0084709A" w:rsidRDefault="00B31F10" w:rsidP="00B31F10">
      <w:pPr>
        <w:pStyle w:val="Heading3"/>
      </w:pPr>
      <w:bookmarkStart w:id="80" w:name="_Toc459898991"/>
      <w:bookmarkStart w:id="81" w:name="_Toc461020949"/>
      <w:bookmarkStart w:id="82" w:name="_Toc461025613"/>
      <w:bookmarkStart w:id="83" w:name="_Toc461025826"/>
      <w:bookmarkStart w:id="84" w:name="_Toc461027092"/>
      <w:r>
        <w:t>2</w:t>
      </w:r>
      <w:r w:rsidR="0084709A">
        <w:t>.2.4</w:t>
      </w:r>
      <w:r w:rsidR="0084709A">
        <w:tab/>
      </w:r>
      <w:r>
        <w:tab/>
      </w:r>
      <w:r w:rsidR="0084709A">
        <w:t>Emissions Reduction Benefits for Other Pollutants</w:t>
      </w:r>
      <w:bookmarkEnd w:id="80"/>
      <w:bookmarkEnd w:id="81"/>
      <w:bookmarkEnd w:id="82"/>
      <w:bookmarkEnd w:id="83"/>
      <w:bookmarkEnd w:id="84"/>
    </w:p>
    <w:p w:rsidR="0084709A" w:rsidRDefault="0084709A" w:rsidP="0084709A">
      <w:pPr>
        <w:pStyle w:val="NoSpacing"/>
        <w:spacing w:after="120"/>
        <w:ind w:left="360"/>
        <w:jc w:val="both"/>
        <w:rPr>
          <w:rFonts w:asciiTheme="minorHAnsi" w:hAnsiTheme="minorHAnsi"/>
        </w:rPr>
      </w:pPr>
      <w:r>
        <w:rPr>
          <w:rFonts w:asciiTheme="minorHAnsi" w:hAnsiTheme="minorHAnsi"/>
        </w:rPr>
        <w:t>The OTC model rule also includes reductions of chlorinated toxic compounds (methylene chloride, perchloroethylene and trichloroethylene), consistent with the CARB consumer product rule in some consumer products such as construction, panel, and floor covering adhesive, oven cleaners, general purpose cleaner, bathroom and tile cleaner. Since VOC can be a precursor to PM</w:t>
      </w:r>
      <w:r>
        <w:rPr>
          <w:rFonts w:asciiTheme="minorHAnsi" w:hAnsiTheme="minorHAnsi"/>
          <w:vertAlign w:val="subscript"/>
        </w:rPr>
        <w:t>2.5</w:t>
      </w:r>
      <w:r>
        <w:rPr>
          <w:rFonts w:asciiTheme="minorHAnsi" w:hAnsiTheme="minorHAnsi"/>
        </w:rPr>
        <w:t xml:space="preserve">, the levels of that pollutant may be reduced as well.  </w:t>
      </w:r>
    </w:p>
    <w:p w:rsidR="0084709A" w:rsidRDefault="00B31F10" w:rsidP="00B31F10">
      <w:pPr>
        <w:pStyle w:val="Heading2"/>
      </w:pPr>
      <w:bookmarkStart w:id="85" w:name="_Toc459898992"/>
      <w:bookmarkStart w:id="86" w:name="_Toc461020950"/>
      <w:bookmarkStart w:id="87" w:name="_Toc461025614"/>
      <w:bookmarkStart w:id="88" w:name="_Toc461025827"/>
      <w:bookmarkStart w:id="89" w:name="_Toc461027093"/>
      <w:r>
        <w:t>2</w:t>
      </w:r>
      <w:r w:rsidR="0084709A">
        <w:t>.3</w:t>
      </w:r>
      <w:r w:rsidR="0084709A">
        <w:tab/>
        <w:t>Motor Vehicle and Mobile Equipment Non-assembly Line Coating Operations</w:t>
      </w:r>
      <w:bookmarkEnd w:id="85"/>
      <w:bookmarkEnd w:id="86"/>
      <w:bookmarkEnd w:id="87"/>
      <w:bookmarkEnd w:id="88"/>
      <w:bookmarkEnd w:id="89"/>
    </w:p>
    <w:p w:rsidR="0084709A" w:rsidRDefault="0084709A" w:rsidP="0084709A">
      <w:pPr>
        <w:spacing w:after="120"/>
        <w:jc w:val="both"/>
        <w:rPr>
          <w:rFonts w:asciiTheme="minorHAnsi" w:hAnsiTheme="minorHAnsi"/>
        </w:rPr>
      </w:pPr>
      <w:r>
        <w:rPr>
          <w:rFonts w:asciiTheme="minorHAnsi" w:hAnsiTheme="minorHAnsi"/>
        </w:rPr>
        <w:t xml:space="preserve">The 2009 OTC model rule for Motor Vehicle and Mobile Equipment Non-assembly Line Coating Operations (2009 OTC MVMERR Model Rule) seeks to limit the VOC content in coatings and cleaning solvents used in </w:t>
      </w:r>
      <w:r>
        <w:rPr>
          <w:rStyle w:val="apple-style-span"/>
          <w:rFonts w:asciiTheme="minorHAnsi" w:hAnsiTheme="minorHAnsi"/>
          <w:color w:val="000000"/>
        </w:rPr>
        <w:t>motor vehicle and</w:t>
      </w:r>
      <w:r>
        <w:rPr>
          <w:rStyle w:val="apple-converted-space"/>
          <w:rFonts w:asciiTheme="minorHAnsi" w:hAnsiTheme="minorHAnsi"/>
          <w:color w:val="000000"/>
        </w:rPr>
        <w:t xml:space="preserve"> </w:t>
      </w:r>
      <w:r>
        <w:rPr>
          <w:rStyle w:val="apple-style-span"/>
          <w:rFonts w:asciiTheme="minorHAnsi" w:hAnsiTheme="minorHAnsi"/>
          <w:color w:val="000000"/>
        </w:rPr>
        <w:t>mobile</w:t>
      </w:r>
      <w:r>
        <w:rPr>
          <w:rStyle w:val="apple-converted-space"/>
          <w:rFonts w:asciiTheme="minorHAnsi" w:hAnsiTheme="minorHAnsi"/>
          <w:color w:val="000000"/>
        </w:rPr>
        <w:t xml:space="preserve"> </w:t>
      </w:r>
      <w:r>
        <w:rPr>
          <w:rStyle w:val="apple-style-span"/>
          <w:rFonts w:asciiTheme="minorHAnsi" w:hAnsiTheme="minorHAnsi"/>
          <w:color w:val="000000"/>
        </w:rPr>
        <w:t xml:space="preserve">equipment non-assembly line coating operations.  Implementation of the 2009 OTC MVME Model Rule </w:t>
      </w:r>
      <w:r>
        <w:rPr>
          <w:rFonts w:asciiTheme="minorHAnsi" w:hAnsiTheme="minorHAnsi"/>
        </w:rPr>
        <w:t xml:space="preserve">will reduce VOC emissions by limiting the VOC content of coatings and cleaning solvents, and will provide work practice standards for preventing emissions from equipment cleaning and cleaning supplies storage. On November 5, 2009, the OTC adopted a Resolution wherein member states agreed to pursue, as necessary and appropriate, state-specific rulemakings to update state rules in accordance with the 2009 OTC MVME Model Rule. </w:t>
      </w:r>
    </w:p>
    <w:p w:rsidR="0084709A" w:rsidRDefault="00B31F10" w:rsidP="00B31F10">
      <w:pPr>
        <w:pStyle w:val="Heading3"/>
      </w:pPr>
      <w:bookmarkStart w:id="90" w:name="_Toc459898993"/>
      <w:bookmarkStart w:id="91" w:name="_Toc461020951"/>
      <w:bookmarkStart w:id="92" w:name="_Toc461025615"/>
      <w:bookmarkStart w:id="93" w:name="_Toc461025828"/>
      <w:bookmarkStart w:id="94" w:name="_Toc461027094"/>
      <w:r>
        <w:t>2</w:t>
      </w:r>
      <w:r w:rsidR="0084709A">
        <w:t>.3.1</w:t>
      </w:r>
      <w:r w:rsidR="0084709A">
        <w:tab/>
      </w:r>
      <w:r>
        <w:tab/>
      </w:r>
      <w:r w:rsidR="0084709A">
        <w:t>Federal Standards</w:t>
      </w:r>
      <w:bookmarkEnd w:id="90"/>
      <w:bookmarkEnd w:id="91"/>
      <w:bookmarkEnd w:id="92"/>
      <w:bookmarkEnd w:id="93"/>
      <w:bookmarkEnd w:id="94"/>
    </w:p>
    <w:p w:rsidR="0084709A" w:rsidRDefault="0084709A" w:rsidP="0084709A">
      <w:pPr>
        <w:autoSpaceDE w:val="0"/>
        <w:autoSpaceDN w:val="0"/>
        <w:adjustRightInd w:val="0"/>
        <w:spacing w:after="120"/>
        <w:ind w:left="360"/>
        <w:jc w:val="both"/>
        <w:rPr>
          <w:rFonts w:asciiTheme="minorHAnsi" w:hAnsiTheme="minorHAnsi"/>
        </w:rPr>
      </w:pPr>
      <w:r>
        <w:rPr>
          <w:rFonts w:asciiTheme="minorHAnsi" w:hAnsiTheme="minorHAnsi"/>
        </w:rPr>
        <w:t xml:space="preserve">Federal standards for autobody refinishing facilities were finalized in 1998 and can be found in 40 CFR Part 59, Subpart B.  The 1998 federal standards apply only to manufacturers and importers of automobile refinish coatings or coating components which are manufactured for sale or distribution in the United States.  The VOC content limits in the federal standards for automobile refinish coatings and coating components were estimated to result in a 37% emissions reduction from uncontrolled 1998 emissions at an estimated cost of $118 (in 1990 dollars) per ton of VOC emissions reduced. </w:t>
      </w:r>
    </w:p>
    <w:p w:rsidR="0084709A" w:rsidRDefault="00B31F10" w:rsidP="00B31F10">
      <w:pPr>
        <w:pStyle w:val="Heading3"/>
      </w:pPr>
      <w:bookmarkStart w:id="95" w:name="_Toc459898994"/>
      <w:bookmarkStart w:id="96" w:name="_Toc461020952"/>
      <w:bookmarkStart w:id="97" w:name="_Toc461025616"/>
      <w:bookmarkStart w:id="98" w:name="_Toc461025829"/>
      <w:bookmarkStart w:id="99" w:name="_Toc461027095"/>
      <w:r>
        <w:t>2</w:t>
      </w:r>
      <w:r w:rsidR="0084709A">
        <w:t>.3.2</w:t>
      </w:r>
      <w:r w:rsidR="0084709A">
        <w:tab/>
      </w:r>
      <w:r>
        <w:tab/>
      </w:r>
      <w:r w:rsidR="0084709A">
        <w:t>OTC Model Rule</w:t>
      </w:r>
      <w:bookmarkEnd w:id="95"/>
      <w:bookmarkEnd w:id="96"/>
      <w:bookmarkEnd w:id="97"/>
      <w:bookmarkEnd w:id="98"/>
      <w:bookmarkEnd w:id="99"/>
    </w:p>
    <w:p w:rsidR="0084709A" w:rsidRDefault="0084709A" w:rsidP="00B31F10">
      <w:pPr>
        <w:pStyle w:val="Heading4"/>
        <w:ind w:left="900"/>
      </w:pPr>
      <w:bookmarkStart w:id="100" w:name="_Toc459898995"/>
      <w:bookmarkStart w:id="101" w:name="_Toc461020953"/>
      <w:bookmarkStart w:id="102" w:name="_Toc461025617"/>
      <w:bookmarkStart w:id="103" w:name="_Toc461027096"/>
      <w:r>
        <w:t>3.3.2.1</w:t>
      </w:r>
      <w:r>
        <w:tab/>
        <w:t>The 2002 OTC MERR Model Rule</w:t>
      </w:r>
      <w:bookmarkEnd w:id="100"/>
      <w:bookmarkEnd w:id="101"/>
      <w:bookmarkEnd w:id="102"/>
      <w:bookmarkEnd w:id="103"/>
    </w:p>
    <w:p w:rsidR="0084709A" w:rsidRDefault="0084709A" w:rsidP="0084709A">
      <w:pPr>
        <w:autoSpaceDE w:val="0"/>
        <w:autoSpaceDN w:val="0"/>
        <w:adjustRightInd w:val="0"/>
        <w:spacing w:after="120"/>
        <w:ind w:left="907"/>
        <w:jc w:val="both"/>
        <w:rPr>
          <w:rFonts w:asciiTheme="minorHAnsi" w:hAnsiTheme="minorHAnsi"/>
          <w:szCs w:val="24"/>
        </w:rPr>
      </w:pPr>
      <w:r>
        <w:rPr>
          <w:rFonts w:asciiTheme="minorHAnsi" w:hAnsiTheme="minorHAnsi"/>
        </w:rPr>
        <w:t xml:space="preserve">The 2002 OTC Mobile Equipment Repair and Refinishing (MERR) Model Rule was developed from the Pennsylvania regulation (Title 25 Pa. Code §129.75) related to mobile equipment repair and refinishing, which was effective November 27, 1999 (29 </w:t>
      </w:r>
      <w:r w:rsidR="0060782B">
        <w:rPr>
          <w:noProof/>
        </w:rPr>
        <mc:AlternateContent>
          <mc:Choice Requires="wps">
            <w:drawing>
              <wp:anchor distT="0" distB="0" distL="114300" distR="114300" simplePos="0" relativeHeight="251696128" behindDoc="0" locked="1" layoutInCell="1" allowOverlap="0" wp14:anchorId="37F0C09B" wp14:editId="2A19CA42">
                <wp:simplePos x="0" y="0"/>
                <wp:positionH relativeFrom="margin">
                  <wp:posOffset>2990850</wp:posOffset>
                </wp:positionH>
                <wp:positionV relativeFrom="bottomMargin">
                  <wp:posOffset>147955</wp:posOffset>
                </wp:positionV>
                <wp:extent cx="914400" cy="237490"/>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237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782B" w:rsidRDefault="0060782B" w:rsidP="0060782B">
                            <w:pPr>
                              <w:ind w:right="60"/>
                              <w:rPr>
                                <w:rFonts w:asciiTheme="minorHAnsi" w:hAnsiTheme="minorHAnsi"/>
                                <w:sz w:val="20"/>
                                <w:szCs w:val="20"/>
                              </w:rPr>
                            </w:pPr>
                            <w:hyperlink w:anchor="TOC" w:history="1">
                              <w:r>
                                <w:rPr>
                                  <w:rStyle w:val="Hyperlink"/>
                                  <w:sz w:val="20"/>
                                  <w:szCs w:val="20"/>
                                </w:rPr>
                                <w:t>Back to TOC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0C09B" id="Text Box 24" o:spid="_x0000_s1035" type="#_x0000_t202" style="position:absolute;left:0;text-align:left;margin-left:235.5pt;margin-top:11.65pt;width:1in;height:18.7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YTsmAIAAKwFAAAOAAAAZHJzL2Uyb0RvYy54bWysVFFPGzEMfp+0/xDlfVxbCowTV9SBmCZV&#10;gAYTz2kuoRFJnCVp77pfj5O7K4XxwrSXOyf+bMf2Z5+dt0aTjfBBga3o+GBEibAcamUfK/rr/urL&#10;V0pCZLZmGqyo6FYEej77/OmscaWYwAp0LTxBJzaUjavoKkZXFkXgK2FYOAAnLColeMMiHv1jUXvW&#10;oHeji8lodFw04GvngYsQ8PayU9JZ9i+l4PFGyiAi0RXFt8X89fm7TN9idsbKR8/cSvH+GewfXmGY&#10;shh05+qSRUbWXv3lyijuIYCMBxxMAVIqLnIOmM149CabuxVzIueCxQluV6bw/9zy682tJ6qu6GRK&#10;iWUGe3Qv2ki+QUvwCuvTuFAi7M4hMLZ4j33OuQa3AP4UEFLsYTqDgOhUj1Z6k/6YKUFDbMF2V/YU&#10;huPl6Xg6HaGGo2pyeDI9zW0pXoydD/G7AEOSUFGPXc0PYJtFiCk8KwdIihVAq/pKaZ0PiUniQnuy&#10;YcgBHccpJ7R4hdKWNBU9PjwaZccWknmH0za5EZlLfbiUbZdgluJWi4TR9qeQWMuc5zuxGefC7uJn&#10;dEJJDPURwx7/8qqPGHd5oEWODDbujI2y4Lu+vi5Z/TSUTHb4vt+hyzuVILbLNpNofDgwZgn1Fgnj&#10;oRu54PiVwu4tWIi3zOOMYcNxb8Qb/EgNWH3oJUpW4P+8d5/wSH3UUtLgzFY0/F4zLyjRPywORSYS&#10;Dnk+TI9OJhjD72uW+xq7NheAlBjjhnI8iwkf9SBKD+YB18s8RUUVsxxjVzQO4kXsNgmuJy7m8wzC&#10;sXYsLuyd48OcJG7etw/Mu57AEZl/DcN0s/INjztsapCF+TqCVJnkqdBdVfsG4ErITO7XV9o5++eM&#10;elmys2cAAAD//wMAUEsDBBQABgAIAAAAIQDxn2nL4AAAAAkBAAAPAAAAZHJzL2Rvd25yZXYueG1s&#10;TI8xb8IwEIX3SvwH65C6IHACLVRpHIRQkWBgaMrCZuJrEjU+R7aB9N/3OrXb3b2nd9/L14PtxA19&#10;aB0pSGcJCKTKmZZqBaeP3fQFRIiajO4coYJvDLAuRg+5zoy70zveylgLDqGQaQVNjH0mZagatDrM&#10;XI/E2qfzVkdefS2N13cOt52cJ8lSWt0Sf2h0j9sGq6/yahUcw3k/Ofv9blIGIw+Ix7dDGpV6HA+b&#10;VxARh/hnhl98RoeCmS7uSiaITsHTKuUuUcF8sQDBhmX6zIcLD8kKZJHL/w2KHwAAAP//AwBQSwEC&#10;LQAUAAYACAAAACEAtoM4kv4AAADhAQAAEwAAAAAAAAAAAAAAAAAAAAAAW0NvbnRlbnRfVHlwZXNd&#10;LnhtbFBLAQItABQABgAIAAAAIQA4/SH/1gAAAJQBAAALAAAAAAAAAAAAAAAAAC8BAABfcmVscy8u&#10;cmVsc1BLAQItABQABgAIAAAAIQDVqYTsmAIAAKwFAAAOAAAAAAAAAAAAAAAAAC4CAABkcnMvZTJv&#10;RG9jLnhtbFBLAQItABQABgAIAAAAIQDxn2nL4AAAAAkBAAAPAAAAAAAAAAAAAAAAAPIEAABkcnMv&#10;ZG93bnJldi54bWxQSwUGAAAAAAQABADzAAAA/wUAAAAA&#10;" o:allowoverlap="f" fillcolor="white [3201]" stroked="f" strokeweight=".5pt">
                <v:path arrowok="t"/>
                <v:textbox>
                  <w:txbxContent>
                    <w:p w:rsidR="0060782B" w:rsidRDefault="0060782B" w:rsidP="0060782B">
                      <w:pPr>
                        <w:ind w:right="60"/>
                        <w:rPr>
                          <w:rFonts w:asciiTheme="minorHAnsi" w:hAnsiTheme="minorHAnsi"/>
                          <w:sz w:val="20"/>
                          <w:szCs w:val="20"/>
                        </w:rPr>
                      </w:pPr>
                      <w:hyperlink w:anchor="TOC" w:history="1">
                        <w:r>
                          <w:rPr>
                            <w:rStyle w:val="Hyperlink"/>
                            <w:sz w:val="20"/>
                            <w:szCs w:val="20"/>
                          </w:rPr>
                          <w:t>Back to TOC</w:t>
                        </w:r>
                      </w:hyperlink>
                    </w:p>
                  </w:txbxContent>
                </v:textbox>
                <w10:wrap anchorx="margin" anchory="margin"/>
                <w10:anchorlock/>
              </v:shape>
            </w:pict>
          </mc:Fallback>
        </mc:AlternateContent>
      </w:r>
      <w:r>
        <w:rPr>
          <w:rFonts w:asciiTheme="minorHAnsi" w:hAnsiTheme="minorHAnsi"/>
        </w:rPr>
        <w:t xml:space="preserve">Pa.B. 6003) and had a compliance date of November 27, 2000.  </w:t>
      </w:r>
    </w:p>
    <w:p w:rsidR="0084709A" w:rsidRDefault="0084709A" w:rsidP="0084709A">
      <w:pPr>
        <w:autoSpaceDE w:val="0"/>
        <w:autoSpaceDN w:val="0"/>
        <w:adjustRightInd w:val="0"/>
        <w:ind w:left="900"/>
        <w:rPr>
          <w:rFonts w:asciiTheme="minorHAnsi" w:hAnsiTheme="minorHAnsi"/>
        </w:rPr>
      </w:pPr>
      <w:r>
        <w:rPr>
          <w:rFonts w:asciiTheme="minorHAnsi" w:hAnsiTheme="minorHAnsi"/>
        </w:rPr>
        <w:lastRenderedPageBreak/>
        <w:t xml:space="preserve">The 2002 OTC MERR Model rule established requirements for using higher efficiency coating application equipment, such as high volume-low pressure paint guns, using spray gun cleaning equipment that minimizes solvent loss, and enclosed spray gun cleaning.  The Federal VOC limits on the paints was maintained in the model rule.   </w:t>
      </w:r>
    </w:p>
    <w:p w:rsidR="0084709A" w:rsidRDefault="0084709A" w:rsidP="0084709A">
      <w:pPr>
        <w:autoSpaceDE w:val="0"/>
        <w:autoSpaceDN w:val="0"/>
        <w:adjustRightInd w:val="0"/>
        <w:spacing w:after="120"/>
        <w:ind w:left="907"/>
        <w:jc w:val="both"/>
        <w:rPr>
          <w:rFonts w:asciiTheme="minorHAnsi" w:hAnsiTheme="minorHAnsi"/>
        </w:rPr>
      </w:pPr>
      <w:r>
        <w:rPr>
          <w:rFonts w:asciiTheme="minorHAnsi" w:hAnsiTheme="minorHAnsi"/>
        </w:rPr>
        <w:t xml:space="preserve">The OTC Rule applies to people who perform mobile equipment repair and refinishing, or color matching coatings to mobile equipment or its components, and has an estimated control cost of $1,534 per ton of VOC emissions reduced across the ozone transport region (OTR).  The 2002 OTC MERR Model Rule has been adopted by most states across the OTR.  </w:t>
      </w:r>
    </w:p>
    <w:p w:rsidR="0084709A" w:rsidRDefault="00B31F10" w:rsidP="00B31F10">
      <w:pPr>
        <w:pStyle w:val="Heading4"/>
        <w:ind w:left="900"/>
      </w:pPr>
      <w:bookmarkStart w:id="104" w:name="_Toc459898996"/>
      <w:bookmarkStart w:id="105" w:name="_Toc461020954"/>
      <w:bookmarkStart w:id="106" w:name="_Toc461025618"/>
      <w:bookmarkStart w:id="107" w:name="_Toc461027097"/>
      <w:r>
        <w:t>2</w:t>
      </w:r>
      <w:r w:rsidR="0084709A">
        <w:t>.3.2.2</w:t>
      </w:r>
      <w:r w:rsidR="0084709A">
        <w:tab/>
        <w:t>The 2009 OTC MVME Model Rule</w:t>
      </w:r>
      <w:bookmarkEnd w:id="104"/>
      <w:bookmarkEnd w:id="105"/>
      <w:bookmarkEnd w:id="106"/>
      <w:bookmarkEnd w:id="107"/>
    </w:p>
    <w:p w:rsidR="0084709A" w:rsidRDefault="0084709A" w:rsidP="0084709A">
      <w:pPr>
        <w:autoSpaceDE w:val="0"/>
        <w:autoSpaceDN w:val="0"/>
        <w:adjustRightInd w:val="0"/>
        <w:spacing w:after="120"/>
        <w:ind w:left="907"/>
        <w:jc w:val="both"/>
        <w:rPr>
          <w:rFonts w:asciiTheme="minorHAnsi" w:hAnsiTheme="minorHAnsi"/>
        </w:rPr>
      </w:pPr>
      <w:r>
        <w:rPr>
          <w:rFonts w:asciiTheme="minorHAnsi" w:hAnsiTheme="minorHAnsi"/>
        </w:rPr>
        <w:t xml:space="preserve">The 2009 OTC MVME Model Rule is an update of the 2002 OTC MERR Model Rule.  The OTC developed the 2009 OTC MVME Model Rule using the CARB 2005 Suggested Control Measure (SCM) for Automotive Coatings as a guideline.  </w:t>
      </w:r>
    </w:p>
    <w:p w:rsidR="0084709A" w:rsidRDefault="0084709A" w:rsidP="0084709A">
      <w:pPr>
        <w:pStyle w:val="CommentText"/>
        <w:spacing w:after="120"/>
        <w:ind w:left="907"/>
        <w:jc w:val="both"/>
        <w:rPr>
          <w:rFonts w:asciiTheme="minorHAnsi" w:hAnsiTheme="minorHAnsi"/>
          <w:sz w:val="24"/>
          <w:szCs w:val="24"/>
        </w:rPr>
      </w:pPr>
      <w:r>
        <w:rPr>
          <w:rFonts w:asciiTheme="minorHAnsi" w:hAnsiTheme="minorHAnsi"/>
          <w:sz w:val="24"/>
          <w:szCs w:val="24"/>
        </w:rPr>
        <w:t xml:space="preserve">The 2009 OTC MVME Model Rule applies to people who supply, sell, offer for sale, distribute, manufacture, use or apply automotive coatings and associated cleaning solvents subject to the Model Rule.  The new model rule limits the VOC content of coatings used in non-assembly line coating operations and limits the VOC content of cleaning solvent to 25 g/l.  The 2009 OTC MVME Model Rule allows the use of higher VOC content cleaning solutions for special uses and sets lower VOC content limits for many of the formulations used which results in switching from solvent-based to water-based formulations. Additionally, the new model rule continues the requirements for the use of high transfer-efficiency painting methods found in the 2002 OTC MERR Model Rule.  The 2009 OTC MVME Model Rule has a recommended compliance date of January 1, 2012.  The estimated control cost for the 2009 OTC MVME Model Rule is $2,680 per ton of VOC emissions reduced across the OTR.  </w:t>
      </w:r>
    </w:p>
    <w:p w:rsidR="0084709A" w:rsidRDefault="00B31F10" w:rsidP="00B31F10">
      <w:pPr>
        <w:pStyle w:val="Heading3"/>
        <w:rPr>
          <w:szCs w:val="22"/>
        </w:rPr>
      </w:pPr>
      <w:bookmarkStart w:id="108" w:name="_Toc459898997"/>
      <w:bookmarkStart w:id="109" w:name="_Toc461020955"/>
      <w:bookmarkStart w:id="110" w:name="_Toc461025619"/>
      <w:bookmarkStart w:id="111" w:name="_Toc461025830"/>
      <w:bookmarkStart w:id="112" w:name="_Toc461027098"/>
      <w:r>
        <w:t>2</w:t>
      </w:r>
      <w:r w:rsidR="0084709A">
        <w:t>.3.3</w:t>
      </w:r>
      <w:r w:rsidR="0084709A">
        <w:tab/>
      </w:r>
      <w:r>
        <w:tab/>
      </w:r>
      <w:r w:rsidR="0084709A">
        <w:t>Emissions Reduction Benefit</w:t>
      </w:r>
      <w:bookmarkEnd w:id="108"/>
      <w:bookmarkEnd w:id="109"/>
      <w:bookmarkEnd w:id="110"/>
      <w:bookmarkEnd w:id="111"/>
      <w:bookmarkEnd w:id="112"/>
      <w:r w:rsidR="0084709A">
        <w:t xml:space="preserve"> </w:t>
      </w:r>
    </w:p>
    <w:p w:rsidR="0084709A" w:rsidRDefault="00B31F10" w:rsidP="00B31F10">
      <w:pPr>
        <w:pStyle w:val="Heading4"/>
        <w:ind w:left="900"/>
      </w:pPr>
      <w:bookmarkStart w:id="113" w:name="_Toc459898998"/>
      <w:bookmarkStart w:id="114" w:name="_Toc461020956"/>
      <w:bookmarkStart w:id="115" w:name="_Toc461025620"/>
      <w:bookmarkStart w:id="116" w:name="_Toc461027099"/>
      <w:r>
        <w:t>2</w:t>
      </w:r>
      <w:r w:rsidR="0084709A">
        <w:t>.3.3.1</w:t>
      </w:r>
      <w:r w:rsidR="0084709A">
        <w:tab/>
        <w:t>Emissions Reduction Benefit</w:t>
      </w:r>
      <w:bookmarkEnd w:id="113"/>
      <w:bookmarkEnd w:id="114"/>
      <w:bookmarkEnd w:id="115"/>
      <w:bookmarkEnd w:id="116"/>
    </w:p>
    <w:p w:rsidR="0084709A" w:rsidRDefault="0084709A" w:rsidP="0084709A">
      <w:pPr>
        <w:autoSpaceDE w:val="0"/>
        <w:autoSpaceDN w:val="0"/>
        <w:adjustRightInd w:val="0"/>
        <w:spacing w:after="120"/>
        <w:ind w:left="907"/>
        <w:jc w:val="both"/>
        <w:rPr>
          <w:rFonts w:asciiTheme="minorHAnsi" w:hAnsiTheme="minorHAnsi"/>
        </w:rPr>
      </w:pPr>
      <w:r>
        <w:rPr>
          <w:rFonts w:asciiTheme="minorHAnsi" w:hAnsiTheme="minorHAnsi"/>
        </w:rPr>
        <w:t xml:space="preserve">The control measures in the 2002 OTC MERR Model Rule were estimated to result in emission reductions of 38% from 2002 OTC baseline emissions (post-1998 federal standard emissions).  From a 2002 OTC baseline of 28,483 tons, this measure resulted in a VOC emission reduction of approximately 10,824 (38% x 28,483) tons across the OTR.  </w:t>
      </w:r>
    </w:p>
    <w:p w:rsidR="0084709A" w:rsidRDefault="0084709A" w:rsidP="0084709A">
      <w:pPr>
        <w:autoSpaceDE w:val="0"/>
        <w:autoSpaceDN w:val="0"/>
        <w:adjustRightInd w:val="0"/>
        <w:spacing w:after="120"/>
        <w:ind w:left="907"/>
        <w:jc w:val="both"/>
        <w:rPr>
          <w:rFonts w:asciiTheme="minorHAnsi" w:hAnsiTheme="minorHAnsi"/>
        </w:rPr>
      </w:pPr>
      <w:r>
        <w:rPr>
          <w:rFonts w:asciiTheme="minorHAnsi" w:hAnsiTheme="minorHAnsi"/>
        </w:rPr>
        <w:t xml:space="preserve">The 2009 OTC MVME Model Rule incorporates control measures from the CARB 2005 Suggested Control Measures (SCM).  The CARB 2005 SCM estimates a 65% reduction in VOC emissions from 2002 CARB baseline emissions, which are post-1998 federal standard emissions.  Unlike California, most of the OTC states adopted the 2002 OTC MERR Model Rule, which provided additional emissions reduction from the 1998 </w:t>
      </w:r>
      <w:r w:rsidR="0060782B">
        <w:rPr>
          <w:noProof/>
        </w:rPr>
        <mc:AlternateContent>
          <mc:Choice Requires="wps">
            <w:drawing>
              <wp:anchor distT="0" distB="0" distL="114300" distR="114300" simplePos="0" relativeHeight="251698176" behindDoc="0" locked="1" layoutInCell="1" allowOverlap="0" wp14:anchorId="37F0C09B" wp14:editId="2A19CA42">
                <wp:simplePos x="0" y="0"/>
                <wp:positionH relativeFrom="margin">
                  <wp:posOffset>2962275</wp:posOffset>
                </wp:positionH>
                <wp:positionV relativeFrom="bottomMargin">
                  <wp:posOffset>224155</wp:posOffset>
                </wp:positionV>
                <wp:extent cx="914400" cy="237490"/>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237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782B" w:rsidRDefault="0060782B" w:rsidP="0060782B">
                            <w:pPr>
                              <w:ind w:right="60"/>
                              <w:rPr>
                                <w:rFonts w:asciiTheme="minorHAnsi" w:hAnsiTheme="minorHAnsi"/>
                                <w:sz w:val="20"/>
                                <w:szCs w:val="20"/>
                              </w:rPr>
                            </w:pPr>
                            <w:hyperlink w:anchor="TOC" w:history="1">
                              <w:r>
                                <w:rPr>
                                  <w:rStyle w:val="Hyperlink"/>
                                  <w:sz w:val="20"/>
                                  <w:szCs w:val="20"/>
                                </w:rPr>
                                <w:t>Back to TOC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0C09B" id="Text Box 25" o:spid="_x0000_s1036" type="#_x0000_t202" style="position:absolute;left:0;text-align:left;margin-left:233.25pt;margin-top:17.65pt;width:1in;height:18.7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JrsmAIAAKwFAAAOAAAAZHJzL2Uyb0RvYy54bWysVFFPGzEMfp+0/xDlfVxbCowTV9SBmCZV&#10;gAYTz2kuoRFJnCVp77pfj5O7K4XxwrSXOyf+bMf2Z5+dt0aTjfBBga3o+GBEibAcamUfK/rr/urL&#10;V0pCZLZmGqyo6FYEej77/OmscaWYwAp0LTxBJzaUjavoKkZXFkXgK2FYOAAnLColeMMiHv1jUXvW&#10;oHeji8lodFw04GvngYsQ8PayU9JZ9i+l4PFGyiAi0RXFt8X89fm7TN9idsbKR8/cSvH+GewfXmGY&#10;shh05+qSRUbWXv3lyijuIYCMBxxMAVIqLnIOmM149CabuxVzIueCxQluV6bw/9zy682tJ6qu6OSI&#10;EssM9uhetJF8g5bgFdancaFE2J1DYGzxHvuccw1uAfwpIKTYw3QGAdGpHq30Jv0xU4KG2ILtruwp&#10;DMfL0/F0OkINR9Xk8GR6mttSvBg7H+J3AYYkoaIeu5ofwDaLEFN4Vg6QFCuAVvWV0jofEpPEhfZk&#10;w5ADOo5TTmjxCqUtaSp6fHg0yo4tJPMOp21yIzKX+nAp2y7BLMWtFgmj7U8hsZY5z3diM86F3cXP&#10;6ISSGOojhj3+5VUfMe7yQIscGWzcGRtlwXd9fV2y+mkomezwfb9Dl3cqQWyXbSbReDowZgn1Fgnj&#10;oRu54PiVwu4tWIi3zOOMYcNxb8Qb/EgNWH3oJUpW4P+8d5/wSH3UUtLgzFY0/F4zLyjRPywORSYS&#10;Dnk+TI9OJhjD72uW+xq7NheAlBjjhnI8iwkf9SBKD+YB18s8RUUVsxxjVzQO4kXsNgmuJy7m8wzC&#10;sXYsLuyd48OcJG7etw/Mu57AEZl/DcN0s/INjztsapCF+TqCVJnkqdBdVfsG4ErITO7XV9o5++eM&#10;elmys2cAAAD//wMAUEsDBBQABgAIAAAAIQCzB9mO4AAAAAkBAAAPAAAAZHJzL2Rvd25yZXYueG1s&#10;TI/BbsIwDIbvk/YOkSftgkZaGAV1ddE0DQkOHNbtwi00pq3WOFUSoHv7ZadxtP3p9/cX69H04kLO&#10;d5YR0mkCgri2uuMG4etz87QC4YNirXrLhPBDHtbl/V2hcm2v/EGXKjQihrDPFUIbwpBL6euWjPJT&#10;OxDH28k6o0IcXSO1U9cYbno5S5JMGtVx/NCqgd5aqr+rs0HY+8N2cnDbzaTyWu6I9u+7NCA+Poyv&#10;LyACjeEfhj/9qA5ldDraM2sveoTnLFtEFGG+mIOIQJYmcXFEWM6WIMtC3jYofwEAAP//AwBQSwEC&#10;LQAUAAYACAAAACEAtoM4kv4AAADhAQAAEwAAAAAAAAAAAAAAAAAAAAAAW0NvbnRlbnRfVHlwZXNd&#10;LnhtbFBLAQItABQABgAIAAAAIQA4/SH/1gAAAJQBAAALAAAAAAAAAAAAAAAAAC8BAABfcmVscy8u&#10;cmVsc1BLAQItABQABgAIAAAAIQBd1JrsmAIAAKwFAAAOAAAAAAAAAAAAAAAAAC4CAABkcnMvZTJv&#10;RG9jLnhtbFBLAQItABQABgAIAAAAIQCzB9mO4AAAAAkBAAAPAAAAAAAAAAAAAAAAAPIEAABkcnMv&#10;ZG93bnJldi54bWxQSwUGAAAAAAQABADzAAAA/wUAAAAA&#10;" o:allowoverlap="f" fillcolor="white [3201]" stroked="f" strokeweight=".5pt">
                <v:path arrowok="t"/>
                <v:textbox>
                  <w:txbxContent>
                    <w:p w:rsidR="0060782B" w:rsidRDefault="0060782B" w:rsidP="0060782B">
                      <w:pPr>
                        <w:ind w:right="60"/>
                        <w:rPr>
                          <w:rFonts w:asciiTheme="minorHAnsi" w:hAnsiTheme="minorHAnsi"/>
                          <w:sz w:val="20"/>
                          <w:szCs w:val="20"/>
                        </w:rPr>
                      </w:pPr>
                      <w:hyperlink w:anchor="TOC" w:history="1">
                        <w:r>
                          <w:rPr>
                            <w:rStyle w:val="Hyperlink"/>
                            <w:sz w:val="20"/>
                            <w:szCs w:val="20"/>
                          </w:rPr>
                          <w:t>Back to TOC</w:t>
                        </w:r>
                      </w:hyperlink>
                    </w:p>
                  </w:txbxContent>
                </v:textbox>
                <w10:wrap anchorx="margin" anchory="margin"/>
                <w10:anchorlock/>
              </v:shape>
            </w:pict>
          </mc:Fallback>
        </mc:AlternateContent>
      </w:r>
      <w:r>
        <w:rPr>
          <w:rFonts w:asciiTheme="minorHAnsi" w:hAnsiTheme="minorHAnsi"/>
        </w:rPr>
        <w:t xml:space="preserve">federal standards baseline, with all reductions achieved by January 1, 2009.  Similar </w:t>
      </w:r>
      <w:r>
        <w:rPr>
          <w:rFonts w:asciiTheme="minorHAnsi" w:hAnsiTheme="minorHAnsi"/>
        </w:rPr>
        <w:lastRenderedPageBreak/>
        <w:t xml:space="preserve">reductions of 65% are expected from the implementation of the 2009 OTC MVME Model Rule.  The emissions reduction expected from implementation of the 2009 OTC MVME Model Rule are based on the 2009 OTC remaining emissions that resulted after implementation of the 2002 OTC MERR Model Rule.  From the 2009 OTC remaining emissions of 17,659 tons, the 2009 OTC MVME Model Rule is estimated to provide a VOC emissions reduction of approximately 11,478 (65% x 17,459) tons across the OTR after implementation by the OTC states. </w:t>
      </w:r>
    </w:p>
    <w:p w:rsidR="0084709A" w:rsidRDefault="0084709A" w:rsidP="0084709A">
      <w:pPr>
        <w:autoSpaceDE w:val="0"/>
        <w:autoSpaceDN w:val="0"/>
        <w:adjustRightInd w:val="0"/>
        <w:spacing w:after="120"/>
        <w:ind w:left="907"/>
        <w:jc w:val="both"/>
        <w:rPr>
          <w:rFonts w:asciiTheme="minorHAnsi" w:hAnsiTheme="minorHAnsi"/>
        </w:rPr>
      </w:pPr>
      <w:r>
        <w:rPr>
          <w:rFonts w:asciiTheme="minorHAnsi" w:hAnsiTheme="minorHAnsi"/>
        </w:rPr>
        <w:t xml:space="preserve">The 2005 CARB SCM recommends a VOC content limit of 25 g/l for solvent used for surface preparation and cleanup.  Emission reduction estimates resulting from this limit were not quantified by CARB because usage data for this category was not collected by CARB during the development of the SCM.  </w:t>
      </w:r>
    </w:p>
    <w:p w:rsidR="0084709A" w:rsidRDefault="0084709A" w:rsidP="00B31F10">
      <w:pPr>
        <w:pStyle w:val="Heading4"/>
        <w:ind w:left="900"/>
      </w:pPr>
      <w:bookmarkStart w:id="117" w:name="_Toc459898999"/>
      <w:bookmarkStart w:id="118" w:name="_Toc461020957"/>
      <w:bookmarkStart w:id="119" w:name="_Toc461025621"/>
      <w:bookmarkStart w:id="120" w:name="_Toc461027100"/>
      <w:r>
        <w:t>3.3.3.2</w:t>
      </w:r>
      <w:r>
        <w:tab/>
        <w:t>Emissions Reduction Estimation Methodology</w:t>
      </w:r>
      <w:bookmarkEnd w:id="117"/>
      <w:bookmarkEnd w:id="118"/>
      <w:bookmarkEnd w:id="119"/>
      <w:bookmarkEnd w:id="120"/>
    </w:p>
    <w:p w:rsidR="0084709A" w:rsidRDefault="0084709A" w:rsidP="0084709A">
      <w:pPr>
        <w:autoSpaceDE w:val="0"/>
        <w:autoSpaceDN w:val="0"/>
        <w:adjustRightInd w:val="0"/>
        <w:spacing w:after="120"/>
        <w:ind w:left="907"/>
        <w:jc w:val="both"/>
        <w:rPr>
          <w:rFonts w:asciiTheme="minorHAnsi" w:hAnsiTheme="minorHAnsi"/>
        </w:rPr>
      </w:pPr>
      <w:r>
        <w:rPr>
          <w:rFonts w:asciiTheme="minorHAnsi" w:hAnsiTheme="minorHAnsi"/>
        </w:rPr>
        <w:t>The 2002 baseline emissions are calculated using data from the 2002 MANE-VU inventory</w:t>
      </w:r>
      <w:r>
        <w:rPr>
          <w:rStyle w:val="FootnoteReference"/>
          <w:rFonts w:asciiTheme="minorHAnsi" w:hAnsiTheme="minorHAnsi"/>
        </w:rPr>
        <w:footnoteReference w:id="8"/>
      </w:r>
      <w:r>
        <w:rPr>
          <w:rFonts w:asciiTheme="minorHAnsi" w:hAnsiTheme="minorHAnsi"/>
        </w:rPr>
        <w:t xml:space="preserve">. The 2002 OTC baseline emissions estimate of 28,483 tons is the total emissions reported for SCC 2401005-xxx by the District of Columbia and the states of Connecticut, Delaware, Maine, Maryland, Massachusetts, New Hampshire, New Jersey, New York, Pennsylvania, Rhode Island, and Vermont.  Emissions from northern Virginia counties included in the OTC were not included in this calculation because emissions from Virginia were not included in the 2002 MANE-VU Inventory.    </w:t>
      </w:r>
    </w:p>
    <w:p w:rsidR="0084709A" w:rsidRDefault="0084709A" w:rsidP="0084709A">
      <w:pPr>
        <w:autoSpaceDE w:val="0"/>
        <w:autoSpaceDN w:val="0"/>
        <w:adjustRightInd w:val="0"/>
        <w:spacing w:before="60" w:after="200"/>
        <w:ind w:left="907"/>
        <w:jc w:val="both"/>
        <w:rPr>
          <w:rFonts w:asciiTheme="minorHAnsi" w:hAnsiTheme="minorHAnsi"/>
        </w:rPr>
      </w:pPr>
      <w:r>
        <w:rPr>
          <w:rFonts w:asciiTheme="minorHAnsi" w:hAnsiTheme="minorHAnsi"/>
        </w:rPr>
        <w:t xml:space="preserve">The emissions reduction estimate for the 1998 federal standards and the uncontrolled OTC emissions prior to 2002 were calculated inversely from the 2002 OTC baseline emissions.  The uncontrolled OTC emissions were calculated using the following equation: </w:t>
      </w:r>
    </w:p>
    <w:p w:rsidR="0084709A" w:rsidRDefault="0084709A" w:rsidP="0084709A">
      <w:pPr>
        <w:autoSpaceDE w:val="0"/>
        <w:autoSpaceDN w:val="0"/>
        <w:adjustRightInd w:val="0"/>
        <w:spacing w:after="60"/>
        <w:jc w:val="center"/>
        <w:rPr>
          <w:rFonts w:asciiTheme="minorHAnsi" w:hAnsiTheme="minorHAnsi"/>
          <w:b/>
        </w:rPr>
      </w:pPr>
      <w:r>
        <w:rPr>
          <w:rFonts w:asciiTheme="minorHAnsi" w:hAnsiTheme="minorHAnsi"/>
          <w:b/>
        </w:rPr>
        <w:t>(2002 OTC Baseline) / ((100 - the percent reduction)/100) = Uncontrolled OTC emissions prior to 2002</w:t>
      </w:r>
    </w:p>
    <w:p w:rsidR="0084709A" w:rsidRDefault="0084709A" w:rsidP="0084709A">
      <w:pPr>
        <w:autoSpaceDE w:val="0"/>
        <w:autoSpaceDN w:val="0"/>
        <w:adjustRightInd w:val="0"/>
        <w:jc w:val="center"/>
        <w:rPr>
          <w:rFonts w:asciiTheme="minorHAnsi" w:hAnsiTheme="minorHAnsi"/>
          <w:b/>
        </w:rPr>
      </w:pPr>
      <w:r>
        <w:rPr>
          <w:rFonts w:asciiTheme="minorHAnsi" w:hAnsiTheme="minorHAnsi"/>
          <w:b/>
        </w:rPr>
        <w:t>28,483 tons / ((100 - 37)/100) = 45,211 tons</w:t>
      </w:r>
    </w:p>
    <w:p w:rsidR="0084709A" w:rsidRDefault="0084709A" w:rsidP="0084709A">
      <w:pPr>
        <w:autoSpaceDE w:val="0"/>
        <w:autoSpaceDN w:val="0"/>
        <w:adjustRightInd w:val="0"/>
        <w:spacing w:before="200" w:after="200"/>
        <w:ind w:left="900"/>
        <w:rPr>
          <w:rFonts w:asciiTheme="minorHAnsi" w:hAnsiTheme="minorHAnsi"/>
        </w:rPr>
      </w:pPr>
      <w:r>
        <w:rPr>
          <w:rFonts w:asciiTheme="minorHAnsi" w:hAnsiTheme="minorHAnsi"/>
        </w:rPr>
        <w:t>The 2002 OTC emissions reduction due to the implementation of the 1998 federal standards was calculated from the difference between the 2002 OTC baseline emissions and the uncontrolled OTC emissions prior to 2002.</w:t>
      </w:r>
    </w:p>
    <w:p w:rsidR="0084709A" w:rsidRDefault="0084709A" w:rsidP="0084709A">
      <w:pPr>
        <w:autoSpaceDE w:val="0"/>
        <w:autoSpaceDN w:val="0"/>
        <w:adjustRightInd w:val="0"/>
        <w:spacing w:after="60"/>
        <w:jc w:val="center"/>
        <w:rPr>
          <w:rFonts w:asciiTheme="minorHAnsi" w:hAnsiTheme="minorHAnsi"/>
          <w:b/>
        </w:rPr>
      </w:pPr>
      <w:r>
        <w:rPr>
          <w:rFonts w:asciiTheme="minorHAnsi" w:hAnsiTheme="minorHAnsi"/>
          <w:b/>
        </w:rPr>
        <w:t>Uncontrolled OTC emissions - 2002 OTC Baseline = 2002 OTC Reduction</w:t>
      </w:r>
    </w:p>
    <w:p w:rsidR="0084709A" w:rsidRDefault="0084709A" w:rsidP="0084709A">
      <w:pPr>
        <w:autoSpaceDE w:val="0"/>
        <w:autoSpaceDN w:val="0"/>
        <w:adjustRightInd w:val="0"/>
        <w:jc w:val="center"/>
        <w:rPr>
          <w:rFonts w:asciiTheme="minorHAnsi" w:hAnsiTheme="minorHAnsi"/>
          <w:b/>
        </w:rPr>
      </w:pPr>
      <w:r>
        <w:rPr>
          <w:rFonts w:asciiTheme="minorHAnsi" w:hAnsiTheme="minorHAnsi"/>
          <w:b/>
        </w:rPr>
        <w:t>45,211 tons – 28,483 tons = 16,728 tons</w:t>
      </w:r>
    </w:p>
    <w:p w:rsidR="0084709A" w:rsidRDefault="0084709A" w:rsidP="0084709A">
      <w:pPr>
        <w:autoSpaceDE w:val="0"/>
        <w:autoSpaceDN w:val="0"/>
        <w:adjustRightInd w:val="0"/>
        <w:spacing w:before="200" w:after="200"/>
        <w:ind w:left="900"/>
        <w:rPr>
          <w:rFonts w:asciiTheme="minorHAnsi" w:hAnsiTheme="minorHAnsi"/>
        </w:rPr>
      </w:pPr>
      <w:r>
        <w:rPr>
          <w:rFonts w:asciiTheme="minorHAnsi" w:hAnsiTheme="minorHAnsi"/>
        </w:rPr>
        <w:t xml:space="preserve">The 2002 OTC MERR Model Rule estimated a 38% reduction from the 2002 OTC baseline emissions.  The 2009 OTC reduction from the implementation of the 2002 </w:t>
      </w:r>
      <w:r w:rsidR="0060782B">
        <w:rPr>
          <w:noProof/>
        </w:rPr>
        <mc:AlternateContent>
          <mc:Choice Requires="wps">
            <w:drawing>
              <wp:anchor distT="0" distB="0" distL="114300" distR="114300" simplePos="0" relativeHeight="251700224" behindDoc="0" locked="1" layoutInCell="1" allowOverlap="0" wp14:anchorId="37F0C09B" wp14:editId="2A19CA42">
                <wp:simplePos x="0" y="0"/>
                <wp:positionH relativeFrom="margin">
                  <wp:posOffset>3095625</wp:posOffset>
                </wp:positionH>
                <wp:positionV relativeFrom="bottomMargin">
                  <wp:posOffset>520700</wp:posOffset>
                </wp:positionV>
                <wp:extent cx="914400" cy="237490"/>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237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782B" w:rsidRDefault="0060782B" w:rsidP="0060782B">
                            <w:pPr>
                              <w:ind w:right="60"/>
                              <w:rPr>
                                <w:rFonts w:asciiTheme="minorHAnsi" w:hAnsiTheme="minorHAnsi"/>
                                <w:sz w:val="20"/>
                                <w:szCs w:val="20"/>
                              </w:rPr>
                            </w:pPr>
                            <w:hyperlink w:anchor="TOC" w:history="1">
                              <w:r>
                                <w:rPr>
                                  <w:rStyle w:val="Hyperlink"/>
                                  <w:sz w:val="20"/>
                                  <w:szCs w:val="20"/>
                                </w:rPr>
                                <w:t>Back to TOC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0C09B" id="Text Box 26" o:spid="_x0000_s1037" type="#_x0000_t202" style="position:absolute;left:0;text-align:left;margin-left:243.75pt;margin-top:41pt;width:1in;height:18.7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nDwmAIAAKwFAAAOAAAAZHJzL2Uyb0RvYy54bWysVFFPGzEMfp+0/xDlfVxbCowTV9SBmCZV&#10;gAYTz2kuoRFJnCVp77pfj5O7K4XxwrSXOyf+bMf2Z5+dt0aTjfBBga3o+GBEibAcamUfK/rr/urL&#10;V0pCZLZmGqyo6FYEej77/OmscaWYwAp0LTxBJzaUjavoKkZXFkXgK2FYOAAnLColeMMiHv1jUXvW&#10;oHeji8lodFw04GvngYsQ8PayU9JZ9i+l4PFGyiAi0RXFt8X89fm7TN9idsbKR8/cSvH+GewfXmGY&#10;shh05+qSRUbWXv3lyijuIYCMBxxMAVIqLnIOmM149CabuxVzIueCxQluV6bw/9zy682tJ6qu6OSY&#10;EssM9uhetJF8g5bgFdancaFE2J1DYGzxHvuccw1uAfwpIKTYw3QGAdGpHq30Jv0xU4KG2ILtruwp&#10;DMfL0/F0OkINR9Xk8GR6mttSvBg7H+J3AYYkoaIeu5ofwDaLEFN4Vg6QFCuAVvWV0jofEpPEhfZk&#10;w5ADOo5TTmjxCqUtaSp6fHg0yo4tJPMOp21yIzKX+nAp2y7BLMWtFgmj7U8hsZY5z3diM86F3cXP&#10;6ISSGOojhj3+5VUfMe7yQIscGWzcGRtlwXd9fV2y+mkomezwfb9Dl3cqQWyXbSbR+GhgzBLqLRLG&#10;QzdywfErhd1bsBBvmccZw4bj3og3+JEasPrQS5SswP957z7hkfqopaTBma1o+L1mXlCif1gcikwk&#10;HPJ8mB6dTDCG39cs9zV2bS4AKTHGDeV4FhM+6kGUHswDrpd5iooqZjnGrmgcxIvYbRJcT1zM5xmE&#10;Y+1YXNg7x4c5Sdy8bx+Ydz2BIzL/GobpZuUbHnfY1CAL83UEqTLJU6G7qvYNwJWQmdyvr7Rz9s8Z&#10;9bJkZ88AAAD//wMAUEsDBBQABgAIAAAAIQB7MP0A4AAAAAoBAAAPAAAAZHJzL2Rvd25yZXYueG1s&#10;TI/BTsMwDIbvSLxDZCQuE0s7xiil6YQQk7bDDnS77JY1pq1onCrJtvL2mNM42v70+/uL5Wh7cUYf&#10;OkcK0mkCAql2pqNGwX63eshAhKjJ6N4RKvjBAMvy9qbQuXEX+sRzFRvBIRRyraCNccilDHWLVoep&#10;G5D49uW81ZFH30jj9YXDbS9nSbKQVnfEH1o94HuL9Xd1sgq24bCeHPx6NamCkRvE7ccmjUrd341v&#10;ryAijvEKw58+q0PJTkd3IhNEr2CePT8xqiCbcScGFo8pL45Mpi9zkGUh/1cofwEAAP//AwBQSwEC&#10;LQAUAAYACAAAACEAtoM4kv4AAADhAQAAEwAAAAAAAAAAAAAAAAAAAAAAW0NvbnRlbnRfVHlwZXNd&#10;LnhtbFBLAQItABQABgAIAAAAIQA4/SH/1gAAAJQBAAALAAAAAAAAAAAAAAAAAC8BAABfcmVscy8u&#10;cmVsc1BLAQItABQABgAIAAAAIQB43nDwmAIAAKwFAAAOAAAAAAAAAAAAAAAAAC4CAABkcnMvZTJv&#10;RG9jLnhtbFBLAQItABQABgAIAAAAIQB7MP0A4AAAAAoBAAAPAAAAAAAAAAAAAAAAAPIEAABkcnMv&#10;ZG93bnJldi54bWxQSwUGAAAAAAQABADzAAAA/wUAAAAA&#10;" o:allowoverlap="f" fillcolor="white [3201]" stroked="f" strokeweight=".5pt">
                <v:path arrowok="t"/>
                <v:textbox>
                  <w:txbxContent>
                    <w:p w:rsidR="0060782B" w:rsidRDefault="0060782B" w:rsidP="0060782B">
                      <w:pPr>
                        <w:ind w:right="60"/>
                        <w:rPr>
                          <w:rFonts w:asciiTheme="minorHAnsi" w:hAnsiTheme="minorHAnsi"/>
                          <w:sz w:val="20"/>
                          <w:szCs w:val="20"/>
                        </w:rPr>
                      </w:pPr>
                      <w:hyperlink w:anchor="TOC" w:history="1">
                        <w:r>
                          <w:rPr>
                            <w:rStyle w:val="Hyperlink"/>
                            <w:sz w:val="20"/>
                            <w:szCs w:val="20"/>
                          </w:rPr>
                          <w:t>Back to TOC</w:t>
                        </w:r>
                      </w:hyperlink>
                    </w:p>
                  </w:txbxContent>
                </v:textbox>
                <w10:wrap anchorx="margin" anchory="margin"/>
                <w10:anchorlock/>
              </v:shape>
            </w:pict>
          </mc:Fallback>
        </mc:AlternateContent>
      </w:r>
      <w:r>
        <w:rPr>
          <w:rFonts w:asciiTheme="minorHAnsi" w:hAnsiTheme="minorHAnsi"/>
        </w:rPr>
        <w:t>OTC MERR Model Rule was calculated using the following equation:</w:t>
      </w:r>
      <w:r>
        <w:rPr>
          <w:rFonts w:asciiTheme="minorHAnsi" w:hAnsiTheme="minorHAnsi"/>
          <w:b/>
          <w:noProof/>
        </w:rPr>
        <w:t xml:space="preserve"> </w:t>
      </w:r>
    </w:p>
    <w:p w:rsidR="0084709A" w:rsidRDefault="0084709A" w:rsidP="0084709A">
      <w:pPr>
        <w:autoSpaceDE w:val="0"/>
        <w:autoSpaceDN w:val="0"/>
        <w:adjustRightInd w:val="0"/>
        <w:spacing w:after="60"/>
        <w:jc w:val="center"/>
        <w:rPr>
          <w:rFonts w:asciiTheme="minorHAnsi" w:hAnsiTheme="minorHAnsi"/>
          <w:b/>
        </w:rPr>
      </w:pPr>
      <w:r>
        <w:rPr>
          <w:rFonts w:asciiTheme="minorHAnsi" w:hAnsiTheme="minorHAnsi"/>
          <w:b/>
        </w:rPr>
        <w:lastRenderedPageBreak/>
        <w:t>(2002 OTC Baseline) * (the percent reduction/100) = 2009 OTC Reduction</w:t>
      </w:r>
    </w:p>
    <w:p w:rsidR="0084709A" w:rsidRDefault="0084709A" w:rsidP="0084709A">
      <w:pPr>
        <w:autoSpaceDE w:val="0"/>
        <w:autoSpaceDN w:val="0"/>
        <w:adjustRightInd w:val="0"/>
        <w:jc w:val="center"/>
        <w:rPr>
          <w:rFonts w:asciiTheme="minorHAnsi" w:hAnsiTheme="minorHAnsi"/>
          <w:b/>
        </w:rPr>
      </w:pPr>
      <w:r>
        <w:rPr>
          <w:rFonts w:asciiTheme="minorHAnsi" w:hAnsiTheme="minorHAnsi"/>
          <w:b/>
        </w:rPr>
        <w:t>28,483 tons * (38/100) = 10,824 tons</w:t>
      </w:r>
    </w:p>
    <w:p w:rsidR="0084709A" w:rsidRDefault="0084709A" w:rsidP="0084709A">
      <w:pPr>
        <w:autoSpaceDE w:val="0"/>
        <w:autoSpaceDN w:val="0"/>
        <w:adjustRightInd w:val="0"/>
        <w:spacing w:before="200" w:after="200"/>
        <w:ind w:left="900"/>
        <w:rPr>
          <w:rFonts w:asciiTheme="minorHAnsi" w:hAnsiTheme="minorHAnsi"/>
        </w:rPr>
      </w:pPr>
      <w:r>
        <w:rPr>
          <w:rFonts w:asciiTheme="minorHAnsi" w:hAnsiTheme="minorHAnsi"/>
        </w:rPr>
        <w:t>The 2009 OTC remaining emissions are calculated using the following equation:</w:t>
      </w:r>
    </w:p>
    <w:p w:rsidR="0084709A" w:rsidRDefault="0084709A" w:rsidP="0084709A">
      <w:pPr>
        <w:autoSpaceDE w:val="0"/>
        <w:autoSpaceDN w:val="0"/>
        <w:adjustRightInd w:val="0"/>
        <w:spacing w:after="60"/>
        <w:jc w:val="center"/>
        <w:rPr>
          <w:rFonts w:asciiTheme="minorHAnsi" w:hAnsiTheme="minorHAnsi"/>
          <w:b/>
        </w:rPr>
      </w:pPr>
      <w:r>
        <w:rPr>
          <w:rFonts w:asciiTheme="minorHAnsi" w:hAnsiTheme="minorHAnsi"/>
          <w:b/>
        </w:rPr>
        <w:t>(2002 OTC Baseline) – (2009 OTC Reduction) = 2009 OTC Remaining</w:t>
      </w:r>
    </w:p>
    <w:p w:rsidR="0084709A" w:rsidRDefault="0084709A" w:rsidP="0084709A">
      <w:pPr>
        <w:autoSpaceDE w:val="0"/>
        <w:autoSpaceDN w:val="0"/>
        <w:adjustRightInd w:val="0"/>
        <w:jc w:val="center"/>
        <w:rPr>
          <w:rFonts w:asciiTheme="minorHAnsi" w:hAnsiTheme="minorHAnsi"/>
          <w:b/>
        </w:rPr>
      </w:pPr>
      <w:r>
        <w:rPr>
          <w:rFonts w:asciiTheme="minorHAnsi" w:hAnsiTheme="minorHAnsi"/>
          <w:b/>
        </w:rPr>
        <w:t>28,483 tons – 10,824 tons = 17,659 tons</w:t>
      </w:r>
    </w:p>
    <w:p w:rsidR="0084709A" w:rsidRDefault="0084709A" w:rsidP="0084709A">
      <w:pPr>
        <w:autoSpaceDE w:val="0"/>
        <w:autoSpaceDN w:val="0"/>
        <w:adjustRightInd w:val="0"/>
        <w:spacing w:before="200" w:after="200"/>
        <w:ind w:left="900"/>
        <w:jc w:val="both"/>
        <w:rPr>
          <w:rFonts w:asciiTheme="minorHAnsi" w:hAnsiTheme="minorHAnsi"/>
        </w:rPr>
      </w:pPr>
      <w:r>
        <w:rPr>
          <w:rFonts w:asciiTheme="minorHAnsi" w:hAnsiTheme="minorHAnsi"/>
        </w:rPr>
        <w:t>The CARB 2005 SCM estimates a 65% reduction in VOC emissions and a similar reduction in remaining emissions is expected in the OTR from the implementation of the 2009 OTC MVME Model Rule (in January 1, 2012) since this Rule is very similar to the SCM The 2012 emissions reduction due to the OTC MVME Model Rule is calculated using the following equation:</w:t>
      </w:r>
    </w:p>
    <w:p w:rsidR="0084709A" w:rsidRDefault="0084709A" w:rsidP="0084709A">
      <w:pPr>
        <w:autoSpaceDE w:val="0"/>
        <w:autoSpaceDN w:val="0"/>
        <w:adjustRightInd w:val="0"/>
        <w:spacing w:after="60"/>
        <w:jc w:val="center"/>
        <w:rPr>
          <w:rFonts w:asciiTheme="minorHAnsi" w:hAnsiTheme="minorHAnsi"/>
          <w:b/>
        </w:rPr>
      </w:pPr>
      <w:r>
        <w:rPr>
          <w:rFonts w:asciiTheme="minorHAnsi" w:hAnsiTheme="minorHAnsi"/>
          <w:b/>
        </w:rPr>
        <w:t>(2009 OTC Remaining) * (the percent reduction/100) = 2012 OTC Reduction</w:t>
      </w:r>
    </w:p>
    <w:p w:rsidR="0084709A" w:rsidRDefault="0084709A" w:rsidP="0084709A">
      <w:pPr>
        <w:autoSpaceDE w:val="0"/>
        <w:autoSpaceDN w:val="0"/>
        <w:adjustRightInd w:val="0"/>
        <w:jc w:val="center"/>
        <w:rPr>
          <w:rFonts w:asciiTheme="minorHAnsi" w:hAnsiTheme="minorHAnsi"/>
          <w:b/>
        </w:rPr>
      </w:pPr>
      <w:r>
        <w:rPr>
          <w:rFonts w:asciiTheme="minorHAnsi" w:hAnsiTheme="minorHAnsi"/>
          <w:b/>
        </w:rPr>
        <w:t>17,659 tons * (65/100) = 11,478 tons</w:t>
      </w:r>
    </w:p>
    <w:p w:rsidR="0084709A" w:rsidRDefault="0084709A" w:rsidP="0084709A">
      <w:pPr>
        <w:autoSpaceDE w:val="0"/>
        <w:autoSpaceDN w:val="0"/>
        <w:adjustRightInd w:val="0"/>
        <w:spacing w:before="200" w:after="200"/>
        <w:ind w:left="900"/>
        <w:rPr>
          <w:rFonts w:asciiTheme="minorHAnsi" w:hAnsiTheme="minorHAnsi"/>
        </w:rPr>
      </w:pPr>
      <w:r>
        <w:rPr>
          <w:rFonts w:asciiTheme="minorHAnsi" w:hAnsiTheme="minorHAnsi"/>
        </w:rPr>
        <w:t>The 2012 OTC remaining emissions are calculated using the following equation:</w:t>
      </w:r>
    </w:p>
    <w:p w:rsidR="0084709A" w:rsidRDefault="0084709A" w:rsidP="0084709A">
      <w:pPr>
        <w:autoSpaceDE w:val="0"/>
        <w:autoSpaceDN w:val="0"/>
        <w:adjustRightInd w:val="0"/>
        <w:spacing w:after="60"/>
        <w:jc w:val="center"/>
        <w:rPr>
          <w:rFonts w:asciiTheme="minorHAnsi" w:hAnsiTheme="minorHAnsi"/>
          <w:b/>
        </w:rPr>
      </w:pPr>
      <w:r>
        <w:rPr>
          <w:rFonts w:asciiTheme="minorHAnsi" w:hAnsiTheme="minorHAnsi"/>
          <w:b/>
        </w:rPr>
        <w:t>(2009 OTC Remaining) – (2012 OTC Reduction) = 2012 OTC Remaining</w:t>
      </w:r>
    </w:p>
    <w:p w:rsidR="0084709A" w:rsidRDefault="0084709A" w:rsidP="0084709A">
      <w:pPr>
        <w:autoSpaceDE w:val="0"/>
        <w:autoSpaceDN w:val="0"/>
        <w:adjustRightInd w:val="0"/>
        <w:spacing w:after="200"/>
        <w:jc w:val="center"/>
        <w:rPr>
          <w:rFonts w:asciiTheme="minorHAnsi" w:hAnsiTheme="minorHAnsi"/>
          <w:b/>
        </w:rPr>
      </w:pPr>
      <w:r>
        <w:rPr>
          <w:rFonts w:asciiTheme="minorHAnsi" w:hAnsiTheme="minorHAnsi"/>
          <w:b/>
        </w:rPr>
        <w:t>17,659 tons – 11,478 tons = 6,181 tons</w:t>
      </w:r>
    </w:p>
    <w:p w:rsidR="0084709A" w:rsidRDefault="00B31F10" w:rsidP="00B31F10">
      <w:pPr>
        <w:pStyle w:val="Heading3"/>
      </w:pPr>
      <w:bookmarkStart w:id="121" w:name="_Toc459899000"/>
      <w:bookmarkStart w:id="122" w:name="_Toc461020958"/>
      <w:bookmarkStart w:id="123" w:name="_Toc461025622"/>
      <w:bookmarkStart w:id="124" w:name="_Toc461025831"/>
      <w:bookmarkStart w:id="125" w:name="_Toc461027101"/>
      <w:r>
        <w:t>2</w:t>
      </w:r>
      <w:r w:rsidR="0084709A">
        <w:t>.3.4</w:t>
      </w:r>
      <w:r w:rsidR="0084709A">
        <w:tab/>
      </w:r>
      <w:r>
        <w:tab/>
      </w:r>
      <w:r w:rsidR="0084709A">
        <w:t>Control Cost Estimate</w:t>
      </w:r>
      <w:bookmarkEnd w:id="121"/>
      <w:bookmarkEnd w:id="122"/>
      <w:bookmarkEnd w:id="123"/>
      <w:bookmarkEnd w:id="124"/>
      <w:bookmarkEnd w:id="125"/>
    </w:p>
    <w:p w:rsidR="0084709A" w:rsidRDefault="0084709A" w:rsidP="0084709A">
      <w:pPr>
        <w:autoSpaceDE w:val="0"/>
        <w:autoSpaceDN w:val="0"/>
        <w:adjustRightInd w:val="0"/>
        <w:spacing w:after="120"/>
        <w:ind w:left="360"/>
        <w:jc w:val="both"/>
        <w:rPr>
          <w:rFonts w:asciiTheme="minorHAnsi" w:hAnsiTheme="minorHAnsi"/>
          <w:szCs w:val="24"/>
        </w:rPr>
      </w:pPr>
      <w:r>
        <w:rPr>
          <w:rFonts w:asciiTheme="minorHAnsi" w:hAnsiTheme="minorHAnsi"/>
        </w:rPr>
        <w:t xml:space="preserve">The control cost estimate for the 2009 OTC MVME Model Rule, as estimated in the CARB 2005 SCM Staff Report, is $2,680 per ton of VOC emissions reduced.  The EPA issued a final rule for National Emission Standards for Hazardous Air Pollutants: Paint Stripping and Miscellaneous Surface Coating Operations at Area Sources (referred to as 6H MACT) on January 9, 2008.  The 6H MACT requires training for coating applicators, identifies approved spray application techniques and specifies minimum equipment requirements.  The CARB 2005 SCM estimate includes costs for training and equipment that may already be required under the 6H MACT rule.  Actual costs may be significantly lower than the CARB 2005 SCM estimate.  However, there is currently no way to quantify the difference without additional information about each potentially affected facility’s compliance with the requirements of the 6H MACT.  </w:t>
      </w:r>
    </w:p>
    <w:p w:rsidR="0084709A" w:rsidRDefault="00B31F10" w:rsidP="00B31F10">
      <w:pPr>
        <w:pStyle w:val="Heading3"/>
      </w:pPr>
      <w:bookmarkStart w:id="126" w:name="_Toc459899001"/>
      <w:bookmarkStart w:id="127" w:name="_Toc461020959"/>
      <w:bookmarkStart w:id="128" w:name="_Toc461025623"/>
      <w:bookmarkStart w:id="129" w:name="_Toc461025832"/>
      <w:bookmarkStart w:id="130" w:name="_Toc461027102"/>
      <w:r>
        <w:t>2</w:t>
      </w:r>
      <w:r w:rsidR="0084709A">
        <w:t>.3.5</w:t>
      </w:r>
      <w:r w:rsidR="0084709A">
        <w:tab/>
      </w:r>
      <w:r>
        <w:tab/>
      </w:r>
      <w:r w:rsidR="0084709A">
        <w:t>Emissions Reduction Benefits for Other Pollutants</w:t>
      </w:r>
      <w:bookmarkEnd w:id="126"/>
      <w:bookmarkEnd w:id="127"/>
      <w:bookmarkEnd w:id="128"/>
      <w:bookmarkEnd w:id="129"/>
      <w:bookmarkEnd w:id="130"/>
    </w:p>
    <w:p w:rsidR="0084709A" w:rsidRDefault="0084709A" w:rsidP="0084709A">
      <w:pPr>
        <w:autoSpaceDE w:val="0"/>
        <w:autoSpaceDN w:val="0"/>
        <w:adjustRightInd w:val="0"/>
        <w:spacing w:after="120"/>
        <w:ind w:left="360"/>
        <w:jc w:val="both"/>
        <w:rPr>
          <w:rFonts w:asciiTheme="minorHAnsi" w:hAnsiTheme="minorHAnsi"/>
          <w:b/>
          <w:szCs w:val="24"/>
        </w:rPr>
      </w:pPr>
      <w:r>
        <w:rPr>
          <w:rFonts w:asciiTheme="minorHAnsi" w:hAnsiTheme="minorHAnsi"/>
        </w:rPr>
        <w:t xml:space="preserve">The proposed measure does not directly reduce other criteria pollutants.  However, some VOCs are also considered hazardous air pollutants (HAP).  The 2009 OTC MVME Model Rule would decrease HAP emissions through coating reformulation and solvent substitution, and increased coating application efficiency. Since VOC can also be a precursor to Particulate </w:t>
      </w:r>
      <w:r w:rsidR="0060782B">
        <w:rPr>
          <w:noProof/>
        </w:rPr>
        <mc:AlternateContent>
          <mc:Choice Requires="wps">
            <w:drawing>
              <wp:anchor distT="0" distB="0" distL="114300" distR="114300" simplePos="0" relativeHeight="251702272" behindDoc="0" locked="1" layoutInCell="1" allowOverlap="0" wp14:anchorId="37F0C09B" wp14:editId="2A19CA42">
                <wp:simplePos x="0" y="0"/>
                <wp:positionH relativeFrom="margin">
                  <wp:posOffset>2828925</wp:posOffset>
                </wp:positionH>
                <wp:positionV relativeFrom="bottomMargin">
                  <wp:posOffset>120015</wp:posOffset>
                </wp:positionV>
                <wp:extent cx="914400" cy="237490"/>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237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782B" w:rsidRDefault="0060782B" w:rsidP="0060782B">
                            <w:pPr>
                              <w:ind w:right="60"/>
                              <w:rPr>
                                <w:rFonts w:asciiTheme="minorHAnsi" w:hAnsiTheme="minorHAnsi"/>
                                <w:sz w:val="20"/>
                                <w:szCs w:val="20"/>
                              </w:rPr>
                            </w:pPr>
                            <w:hyperlink w:anchor="TOC" w:history="1">
                              <w:r>
                                <w:rPr>
                                  <w:rStyle w:val="Hyperlink"/>
                                  <w:sz w:val="20"/>
                                  <w:szCs w:val="20"/>
                                </w:rPr>
                                <w:t>Back to TOC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0C09B" id="Text Box 27" o:spid="_x0000_s1038" type="#_x0000_t202" style="position:absolute;left:0;text-align:left;margin-left:222.75pt;margin-top:9.45pt;width:1in;height:18.7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rITmAIAAKwFAAAOAAAAZHJzL2Uyb0RvYy54bWysVFFPGzEMfp+0/xDlfVxbCowTV9SBmCZV&#10;gAYTz2kuoRFJnCVp77pfj5O7K4XxwrSXOyf+bMf2Z5+dt0aTjfBBga3o+GBEibAcamUfK/rr/urL&#10;V0pCZLZmGqyo6FYEej77/OmscaWYwAp0LTxBJzaUjavoKkZXFkXgK2FYOAAnLColeMMiHv1jUXvW&#10;oHeji8lodFw04GvngYsQ8PayU9JZ9i+l4PFGyiAi0RXFt8X89fm7TN9idsbKR8/cSvH+GewfXmGY&#10;shh05+qSRUbWXv3lyijuIYCMBxxMAVIqLnIOmM149CabuxVzIueCxQluV6bw/9zy682tJ6qu6OSE&#10;EssM9uhetJF8g5bgFdancaFE2J1DYGzxHvuccw1uAfwpIKTYw3QGAdGpHq30Jv0xU4KG2ILtruwp&#10;DMfL0/F0OkINR9Xk8GR6mttSvBg7H+J3AYYkoaIeu5ofwDaLEFN4Vg6QFCuAVvWV0jofEpPEhfZk&#10;w5ADOo5TTmjxCqUtaSp6fHg0yo4tJPMOp21yIzKX+nAp2y7BLMWtFgmj7U8hsZY5z3diM86F3cXP&#10;6ISSGOojhj3+5VUfMe7yQIscGWzcGRtlwXd9fV2y+mkomezwfb9Dl3cqQWyXbSbR+HhgzBLqLRLG&#10;QzdywfErhd1bsBBvmccZw4bj3og3+JEasPrQS5SswP957z7hkfqopaTBma1o+L1mXlCif1gcikwk&#10;HPJ8mB6dTDCG39cs9zV2bS4AKTHGDeV4FhM+6kGUHswDrpd5iooqZjnGrmgcxIvYbRJcT1zM5xmE&#10;Y+1YXNg7x4c5Sdy8bx+Ydz2BIzL/GobpZuUbHnfY1CAL83UEqTLJU6G7qvYNwJWQmdyvr7Rz9s8Z&#10;9bJkZ88AAAD//wMAUEsDBBQABgAIAAAAIQCzivX73wAAAAkBAAAPAAAAZHJzL2Rvd25yZXYueG1s&#10;TI8xb8IwEIX3Sv0P1lXqgopDS1AIcVBVFQkGhqZd2Ex8JFHjc2QbSP99r1PZ7u49vftesR5tLy7o&#10;Q+dIwWyagECqnemoUfD1uXnKQISoyejeESr4wQDr8v6u0LlxV/rASxUbwSEUcq2gjXHIpQx1i1aH&#10;qRuQWDs5b3Xk1TfSeH3lcNvL5yRZSKs74g+tHvCtxfq7OlsF+3DYTg5+u5lUwcgd4v59N4tKPT6M&#10;rysQEcf4b4Y/fEaHkpmO7kwmiF7BfJ6mbGUhW4JgQ5ot+XDkYfECsizkbYPyFwAA//8DAFBLAQIt&#10;ABQABgAIAAAAIQC2gziS/gAAAOEBAAATAAAAAAAAAAAAAAAAAAAAAABbQ29udGVudF9UeXBlc10u&#10;eG1sUEsBAi0AFAAGAAgAAAAhADj9If/WAAAAlAEAAAsAAAAAAAAAAAAAAAAALwEAAF9yZWxzLy5y&#10;ZWxzUEsBAi0AFAAGAAgAAAAhAI5mshOYAgAArAUAAA4AAAAAAAAAAAAAAAAALgIAAGRycy9lMm9E&#10;b2MueG1sUEsBAi0AFAAGAAgAAAAhALOK9fvfAAAACQEAAA8AAAAAAAAAAAAAAAAA8gQAAGRycy9k&#10;b3ducmV2LnhtbFBLBQYAAAAABAAEAPMAAAD+BQAAAAA=&#10;" o:allowoverlap="f" fillcolor="white [3201]" stroked="f" strokeweight=".5pt">
                <v:path arrowok="t"/>
                <v:textbox>
                  <w:txbxContent>
                    <w:p w:rsidR="0060782B" w:rsidRDefault="0060782B" w:rsidP="0060782B">
                      <w:pPr>
                        <w:ind w:right="60"/>
                        <w:rPr>
                          <w:rFonts w:asciiTheme="minorHAnsi" w:hAnsiTheme="minorHAnsi"/>
                          <w:sz w:val="20"/>
                          <w:szCs w:val="20"/>
                        </w:rPr>
                      </w:pPr>
                      <w:hyperlink w:anchor="TOC" w:history="1">
                        <w:r>
                          <w:rPr>
                            <w:rStyle w:val="Hyperlink"/>
                            <w:sz w:val="20"/>
                            <w:szCs w:val="20"/>
                          </w:rPr>
                          <w:t>Back to TOC</w:t>
                        </w:r>
                      </w:hyperlink>
                    </w:p>
                  </w:txbxContent>
                </v:textbox>
                <w10:wrap anchorx="margin" anchory="margin"/>
                <w10:anchorlock/>
              </v:shape>
            </w:pict>
          </mc:Fallback>
        </mc:AlternateContent>
      </w:r>
      <w:r>
        <w:rPr>
          <w:rFonts w:asciiTheme="minorHAnsi" w:hAnsiTheme="minorHAnsi"/>
        </w:rPr>
        <w:t>Matter of 2.5 microns in size (PM</w:t>
      </w:r>
      <w:r>
        <w:rPr>
          <w:rFonts w:asciiTheme="minorHAnsi" w:hAnsiTheme="minorHAnsi"/>
          <w:vertAlign w:val="subscript"/>
        </w:rPr>
        <w:t>2.5</w:t>
      </w:r>
      <w:r>
        <w:rPr>
          <w:rFonts w:asciiTheme="minorHAnsi" w:hAnsiTheme="minorHAnsi"/>
        </w:rPr>
        <w:t xml:space="preserve">), the levels of that pollutant may be reduced as well.  </w:t>
      </w:r>
    </w:p>
    <w:p w:rsidR="0084709A" w:rsidRDefault="00B31F10" w:rsidP="00B31F10">
      <w:pPr>
        <w:pStyle w:val="Heading2"/>
      </w:pPr>
      <w:bookmarkStart w:id="131" w:name="_Toc459899002"/>
      <w:bookmarkStart w:id="132" w:name="_Toc461020960"/>
      <w:bookmarkStart w:id="133" w:name="_Toc461025624"/>
      <w:bookmarkStart w:id="134" w:name="_Toc461025833"/>
      <w:bookmarkStart w:id="135" w:name="_Toc461027103"/>
      <w:r>
        <w:lastRenderedPageBreak/>
        <w:t>2</w:t>
      </w:r>
      <w:r w:rsidR="0084709A">
        <w:t>.4</w:t>
      </w:r>
      <w:r w:rsidR="0084709A">
        <w:tab/>
        <w:t>Architectural, Industrial, and Maintenance (AIM) Coatings</w:t>
      </w:r>
      <w:bookmarkEnd w:id="131"/>
      <w:bookmarkEnd w:id="132"/>
      <w:bookmarkEnd w:id="133"/>
      <w:bookmarkEnd w:id="134"/>
      <w:bookmarkEnd w:id="135"/>
    </w:p>
    <w:p w:rsidR="0084709A" w:rsidRDefault="00B31F10" w:rsidP="00B31F10">
      <w:pPr>
        <w:pStyle w:val="Heading3"/>
      </w:pPr>
      <w:bookmarkStart w:id="136" w:name="_Toc459899003"/>
      <w:bookmarkStart w:id="137" w:name="_Toc461020961"/>
      <w:bookmarkStart w:id="138" w:name="_Toc461025625"/>
      <w:bookmarkStart w:id="139" w:name="_Toc461025834"/>
      <w:bookmarkStart w:id="140" w:name="_Toc461027104"/>
      <w:r>
        <w:t>2</w:t>
      </w:r>
      <w:r w:rsidR="0084709A">
        <w:t>.4.1</w:t>
      </w:r>
      <w:r>
        <w:tab/>
      </w:r>
      <w:r w:rsidR="0084709A">
        <w:tab/>
        <w:t>Standards Background</w:t>
      </w:r>
      <w:bookmarkEnd w:id="136"/>
      <w:bookmarkEnd w:id="137"/>
      <w:bookmarkEnd w:id="138"/>
      <w:bookmarkEnd w:id="139"/>
      <w:bookmarkEnd w:id="140"/>
      <w:r w:rsidR="0084709A">
        <w:t xml:space="preserve"> </w:t>
      </w:r>
    </w:p>
    <w:p w:rsidR="0084709A" w:rsidRDefault="0084709A" w:rsidP="0084709A">
      <w:pPr>
        <w:pStyle w:val="NoSpacing"/>
        <w:spacing w:after="120"/>
        <w:ind w:left="360"/>
        <w:jc w:val="both"/>
        <w:rPr>
          <w:rFonts w:asciiTheme="minorHAnsi" w:hAnsiTheme="minorHAnsi"/>
        </w:rPr>
      </w:pPr>
      <w:r>
        <w:rPr>
          <w:rFonts w:asciiTheme="minorHAnsi" w:hAnsiTheme="minorHAnsi"/>
        </w:rPr>
        <w:t>Pursuant to the Clean Air Act, the OTC is tasked to develop and implement enforceable strategies that will help bring the region into attainment for ozone.  The Architectural and Industrial Maintenance (AIM) coatings model rule is part of that effort.</w:t>
      </w:r>
    </w:p>
    <w:p w:rsidR="0084709A" w:rsidRDefault="0084709A" w:rsidP="0084709A">
      <w:pPr>
        <w:pStyle w:val="NoSpacing"/>
        <w:spacing w:after="120"/>
        <w:ind w:left="360"/>
        <w:jc w:val="both"/>
        <w:rPr>
          <w:rFonts w:asciiTheme="minorHAnsi" w:hAnsiTheme="minorHAnsi"/>
        </w:rPr>
      </w:pPr>
      <w:r>
        <w:rPr>
          <w:rFonts w:asciiTheme="minorHAnsi" w:hAnsiTheme="minorHAnsi"/>
        </w:rPr>
        <w:t xml:space="preserve">In 1993, EPA provided a memo to states stating that a federal rule was to be developed that would have resulted in a 25% reduction in VOCs from this category.  The process of developing a national rule was terminated in September 1994.  </w:t>
      </w:r>
    </w:p>
    <w:p w:rsidR="0084709A" w:rsidRDefault="0084709A" w:rsidP="0084709A">
      <w:pPr>
        <w:pStyle w:val="NoSpacing"/>
        <w:spacing w:after="120"/>
        <w:ind w:left="360"/>
        <w:jc w:val="both"/>
        <w:rPr>
          <w:rFonts w:asciiTheme="minorHAnsi" w:hAnsiTheme="minorHAnsi"/>
        </w:rPr>
      </w:pPr>
      <w:r>
        <w:rPr>
          <w:rFonts w:asciiTheme="minorHAnsi" w:hAnsiTheme="minorHAnsi"/>
        </w:rPr>
        <w:t xml:space="preserve">On June 25, 1996, EPA issued a proposed federal AIM rule that EPA claimed would result in a 20% reduction of VOCs from this sector.  However, the proposed EPA rule was not as stringent as some State rules due to exceedance fee and variance provisions and a limited amount of coating categories.  This prompted States to work together via the Ozone Transport Commission (OTC) to develop a regional AIM program to ensure actual VOC reductions were realized.  </w:t>
      </w:r>
    </w:p>
    <w:p w:rsidR="0084709A" w:rsidRDefault="0084709A" w:rsidP="0084709A">
      <w:pPr>
        <w:pStyle w:val="NoSpacing"/>
        <w:spacing w:after="120"/>
        <w:ind w:left="360"/>
        <w:jc w:val="both"/>
        <w:rPr>
          <w:rFonts w:asciiTheme="minorHAnsi" w:hAnsiTheme="minorHAnsi"/>
        </w:rPr>
      </w:pPr>
      <w:r>
        <w:rPr>
          <w:rFonts w:asciiTheme="minorHAnsi" w:hAnsiTheme="minorHAnsi"/>
        </w:rPr>
        <w:t xml:space="preserve">On September 11, 1998 EPA published their final AIM rule as 40 CFR Part 59, Subpart D in the Federal Register.  This rule covers sixty one coating categories and established an exceedance fee program as well as a VOC tonnage exemption.  </w:t>
      </w:r>
    </w:p>
    <w:p w:rsidR="0084709A" w:rsidRDefault="0084709A" w:rsidP="0084709A">
      <w:pPr>
        <w:pStyle w:val="NoSpacing"/>
        <w:spacing w:after="120"/>
        <w:ind w:left="360"/>
        <w:jc w:val="both"/>
        <w:rPr>
          <w:rFonts w:asciiTheme="minorHAnsi" w:hAnsiTheme="minorHAnsi"/>
          <w:i/>
        </w:rPr>
      </w:pPr>
      <w:r>
        <w:rPr>
          <w:rFonts w:asciiTheme="minorHAnsi" w:hAnsiTheme="minorHAnsi"/>
        </w:rPr>
        <w:t>With areas within the OTR in nonattainment for ozone additional VOC reductions were required and the 2002 OTC model rule was developed.  The 2002 AIM model rule followed the 2000 CARB suggested control measure (SCM).</w:t>
      </w:r>
    </w:p>
    <w:p w:rsidR="0084709A" w:rsidRDefault="0084709A" w:rsidP="0084709A">
      <w:pPr>
        <w:pStyle w:val="NoSpacing"/>
        <w:spacing w:after="120"/>
        <w:ind w:left="360"/>
        <w:jc w:val="both"/>
        <w:rPr>
          <w:rFonts w:asciiTheme="minorHAnsi" w:hAnsiTheme="minorHAnsi"/>
        </w:rPr>
      </w:pPr>
      <w:r>
        <w:rPr>
          <w:rFonts w:asciiTheme="minorHAnsi" w:hAnsiTheme="minorHAnsi"/>
        </w:rPr>
        <w:t xml:space="preserve">In 2007, the California Air Resources Board (CARB) generated a study based on survey data to examine VOC levels in coatings and developed a new 2007 CARB SCM.  The 2007 CARB AIM SCM generally lowered VOC limits through product reformulation as well as improved definitions.  Of the 47 coating categories regulated in the 2000 SCM, 15 categories were eliminated (replaced by new categories or deemed unnecessary), 10 categories were added, and 19 have stricter VOC limits. The updated SCM also contains some revised compliance and reporting requirements.  </w:t>
      </w:r>
    </w:p>
    <w:p w:rsidR="0084709A" w:rsidRDefault="0084709A" w:rsidP="0084709A">
      <w:pPr>
        <w:pStyle w:val="NoSpacing"/>
        <w:spacing w:after="120"/>
        <w:ind w:left="360"/>
        <w:jc w:val="both"/>
        <w:rPr>
          <w:rFonts w:asciiTheme="minorHAnsi" w:hAnsiTheme="minorHAnsi"/>
        </w:rPr>
      </w:pPr>
      <w:r>
        <w:rPr>
          <w:rFonts w:asciiTheme="minorHAnsi" w:hAnsiTheme="minorHAnsi"/>
        </w:rPr>
        <w:t>On June 3, 2010, the OTC adopted a Resolution wherein member states agreed to pursue, as necessary and appropriate, state-specific rulemakings to update state rules in accordance with the 2009 OTC Architectural, Industrial and Maintenance Model Rule, which is based on the 2007 CARB SCM as well as their survey data.  The model rule was updated with minor revisions by the OTC workgroup on October 13, 2014.</w:t>
      </w:r>
    </w:p>
    <w:p w:rsidR="0084709A" w:rsidRDefault="0084709A" w:rsidP="0084709A">
      <w:pPr>
        <w:pStyle w:val="NoSpacing"/>
        <w:ind w:left="360"/>
        <w:jc w:val="both"/>
        <w:rPr>
          <w:rFonts w:asciiTheme="minorHAnsi" w:hAnsiTheme="minorHAnsi"/>
        </w:rPr>
      </w:pPr>
      <w:r>
        <w:rPr>
          <w:rFonts w:asciiTheme="minorHAnsi" w:hAnsiTheme="minorHAnsi"/>
        </w:rPr>
        <w:t>The OTC Model Rule is an adaptation of the 2007 CARB SCM with some revisions including the assignment of different limits for some categories of products as well as the addition of some categories that are specific to the OTR and not included in the 2007 CARB SCM.</w:t>
      </w:r>
    </w:p>
    <w:p w:rsidR="0084709A" w:rsidRDefault="0084709A" w:rsidP="0084709A">
      <w:pPr>
        <w:pStyle w:val="NoSpacing"/>
        <w:spacing w:after="120"/>
        <w:ind w:left="360"/>
        <w:jc w:val="both"/>
        <w:rPr>
          <w:rFonts w:asciiTheme="minorHAnsi" w:hAnsiTheme="minorHAnsi"/>
        </w:rPr>
      </w:pPr>
      <w:r>
        <w:rPr>
          <w:rFonts w:asciiTheme="minorHAnsi" w:hAnsiTheme="minorHAnsi"/>
        </w:rPr>
        <w:t xml:space="preserve">CARB originally approved an SCM for architectural coatings in 1977 and amended it in 1985, 1989, and 2000. On August 14, 1998, EPA issued the final version of its National Volatile Organic Compound Emission Standards for Architectural Coatings under Section 183(e) of the </w:t>
      </w:r>
      <w:r w:rsidR="0060782B">
        <w:rPr>
          <w:noProof/>
        </w:rPr>
        <mc:AlternateContent>
          <mc:Choice Requires="wps">
            <w:drawing>
              <wp:anchor distT="0" distB="0" distL="114300" distR="114300" simplePos="0" relativeHeight="251704320" behindDoc="0" locked="1" layoutInCell="1" allowOverlap="0" wp14:anchorId="37F0C09B" wp14:editId="2A19CA42">
                <wp:simplePos x="0" y="0"/>
                <wp:positionH relativeFrom="margin">
                  <wp:posOffset>3124200</wp:posOffset>
                </wp:positionH>
                <wp:positionV relativeFrom="bottomMargin">
                  <wp:posOffset>150495</wp:posOffset>
                </wp:positionV>
                <wp:extent cx="914400" cy="237490"/>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237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782B" w:rsidRDefault="0060782B" w:rsidP="0060782B">
                            <w:pPr>
                              <w:ind w:right="60"/>
                              <w:rPr>
                                <w:rFonts w:asciiTheme="minorHAnsi" w:hAnsiTheme="minorHAnsi"/>
                                <w:sz w:val="20"/>
                                <w:szCs w:val="20"/>
                              </w:rPr>
                            </w:pPr>
                            <w:hyperlink w:anchor="TOC" w:history="1">
                              <w:r>
                                <w:rPr>
                                  <w:rStyle w:val="Hyperlink"/>
                                  <w:sz w:val="20"/>
                                  <w:szCs w:val="20"/>
                                </w:rPr>
                                <w:t>Back to TOC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0C09B" id="Text Box 28" o:spid="_x0000_s1039" type="#_x0000_t202" style="position:absolute;left:0;text-align:left;margin-left:246pt;margin-top:11.85pt;width:1in;height:18.7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SyflwIAAKwFAAAOAAAAZHJzL2Uyb0RvYy54bWysVFFPGzEMfp+0/xDlfVxbCowTV9SBmCZV&#10;gAYTz2kuoRFJnCVp77pfj5O7K4XxwrSXOyf+bMf2Z5+dt0aTjfBBga3o+GBEibAcamUfK/rr/urL&#10;V0pCZLZmGqyo6FYEej77/OmscaWYwAp0LTxBJzaUjavoKkZXFkXgK2FYOAAnLColeMMiHv1jUXvW&#10;oHeji8lodFw04GvngYsQ8PayU9JZ9i+l4PFGyiAi0RXFt8X89fm7TN9idsbKR8/cSvH+GewfXmGY&#10;shh05+qSRUbWXv3lyijuIYCMBxxMAVIqLnIOmM149CabuxVzIueCxQluV6bw/9zy682tJ6qu6AQ7&#10;ZZnBHt2LNpJv0BK8wvo0LpQIu3MIjC3eY59zrsEtgD8FhBR7mM4gIDrVo5XepD9mStAQW7DdlT2F&#10;4Xh5Op5OR6jhqJocnkxPc1uKF2PnQ/wuwJAkVNRjV/MD2GYRYgrPygGSYgXQqr5SWudDYpK40J5s&#10;GHJAx3HKCS1eobQlTUWPD49G2bGFZN7htE1uROZSHy5l2yWYpbjVImG0/Skk1jLn+U5sxrmwu/gZ&#10;nVASQ33EsMe/vOojxl0eaJEjg407Y6Ms+K6vr0tWPw0lkx2+73fo8k4liO2yzSQanwyMWUK9RcJ4&#10;6EYuOH6lsHsLFuIt8zhj2HDcG/EGP1IDVh96iZIV+D/v3Sc8Uh+1lDQ4sxUNv9fMC0r0D4tDkYmE&#10;Q54P06OTCcbw+5rlvsauzQUgJca4oRzPYsJHPYjSg3nA9TJPUVHFLMfYFY2DeBG7TYLriYv5PINw&#10;rB2LC3vn+DAniZv37QPzridwROZfwzDdrHzD4w6bGmRhvo4gVSZ5KnRX1b4BuBIyk/v1lXbO/jmj&#10;Xpbs7BkAAP//AwBQSwMEFAAGAAgAAAAhAPiz8mPgAAAACQEAAA8AAABkcnMvZG93bnJldi54bWxM&#10;jzFPwzAQhXck/oN1SCwVdZKiUEKcCiEqtUMHQpdubnwkEfE5st02/HuOiW53957efa9cTXYQZ/Sh&#10;d6QgnScgkBpnemoV7D/XD0sQIWoyenCECn4wwKq6vSl1YdyFPvBcx1ZwCIVCK+hiHAspQ9Oh1WHu&#10;RiTWvpy3OvLqW2m8vnC4HWSWJLm0uif+0OkR3zpsvuuTVbALh83s4DfrWR2M3CLu3rdpVOr+bnp9&#10;ARFxiv9m+MNndKiY6ehOZIIYFDw+Z9wlKsgWTyDYkC9yPhx5SFOQVSmvG1S/AAAA//8DAFBLAQIt&#10;ABQABgAIAAAAIQC2gziS/gAAAOEBAAATAAAAAAAAAAAAAAAAAAAAAABbQ29udGVudF9UeXBlc10u&#10;eG1sUEsBAi0AFAAGAAgAAAAhADj9If/WAAAAlAEAAAsAAAAAAAAAAAAAAAAALwEAAF9yZWxzLy5y&#10;ZWxzUEsBAi0AFAAGAAgAAAAhAEGBLJ+XAgAArAUAAA4AAAAAAAAAAAAAAAAALgIAAGRycy9lMm9E&#10;b2MueG1sUEsBAi0AFAAGAAgAAAAhAPiz8mPgAAAACQEAAA8AAAAAAAAAAAAAAAAA8QQAAGRycy9k&#10;b3ducmV2LnhtbFBLBQYAAAAABAAEAPMAAAD+BQAAAAA=&#10;" o:allowoverlap="f" fillcolor="white [3201]" stroked="f" strokeweight=".5pt">
                <v:path arrowok="t"/>
                <v:textbox>
                  <w:txbxContent>
                    <w:p w:rsidR="0060782B" w:rsidRDefault="0060782B" w:rsidP="0060782B">
                      <w:pPr>
                        <w:ind w:right="60"/>
                        <w:rPr>
                          <w:rFonts w:asciiTheme="minorHAnsi" w:hAnsiTheme="minorHAnsi"/>
                          <w:sz w:val="20"/>
                          <w:szCs w:val="20"/>
                        </w:rPr>
                      </w:pPr>
                      <w:hyperlink w:anchor="TOC" w:history="1">
                        <w:r>
                          <w:rPr>
                            <w:rStyle w:val="Hyperlink"/>
                            <w:sz w:val="20"/>
                            <w:szCs w:val="20"/>
                          </w:rPr>
                          <w:t>Back to TOC</w:t>
                        </w:r>
                      </w:hyperlink>
                    </w:p>
                  </w:txbxContent>
                </v:textbox>
                <w10:wrap anchorx="margin" anchory="margin"/>
                <w10:anchorlock/>
              </v:shape>
            </w:pict>
          </mc:Fallback>
        </mc:AlternateContent>
      </w:r>
      <w:r>
        <w:rPr>
          <w:rFonts w:asciiTheme="minorHAnsi" w:hAnsiTheme="minorHAnsi"/>
        </w:rPr>
        <w:t xml:space="preserve">Clean Air Act. This final rule, which applied only to manufacturers and importers of </w:t>
      </w:r>
      <w:r>
        <w:rPr>
          <w:rFonts w:asciiTheme="minorHAnsi" w:hAnsiTheme="minorHAnsi"/>
        </w:rPr>
        <w:lastRenderedPageBreak/>
        <w:t>architectural coatings, and set VOC content limits for 61 coating categories, specifically allowed states or local governments to adopt more stringent coating limits.</w:t>
      </w:r>
    </w:p>
    <w:p w:rsidR="0084709A" w:rsidRDefault="0084709A" w:rsidP="0084709A">
      <w:pPr>
        <w:pStyle w:val="NoSpacing"/>
        <w:spacing w:after="200"/>
        <w:ind w:left="360"/>
        <w:jc w:val="both"/>
        <w:rPr>
          <w:rFonts w:asciiTheme="minorHAnsi" w:hAnsiTheme="minorHAnsi"/>
        </w:rPr>
      </w:pPr>
      <w:r>
        <w:rPr>
          <w:rFonts w:asciiTheme="minorHAnsi" w:hAnsiTheme="minorHAnsi"/>
        </w:rPr>
        <w:t xml:space="preserve">The OTC adopted the 2002AIM Model Rule more stringent than the national rule in 2002 which is based primarily on the 2000 CARB SCM.  The 2002 AIM model rule has been adopted by nearly all OTC states. </w:t>
      </w:r>
    </w:p>
    <w:p w:rsidR="0084709A" w:rsidRDefault="00B31F10" w:rsidP="00B31F10">
      <w:pPr>
        <w:pStyle w:val="Heading3"/>
      </w:pPr>
      <w:bookmarkStart w:id="141" w:name="_Toc459899004"/>
      <w:bookmarkStart w:id="142" w:name="_Toc461020962"/>
      <w:bookmarkStart w:id="143" w:name="_Toc461025626"/>
      <w:bookmarkStart w:id="144" w:name="_Toc461025835"/>
      <w:bookmarkStart w:id="145" w:name="_Toc461027105"/>
      <w:r>
        <w:t>2</w:t>
      </w:r>
      <w:r w:rsidR="0084709A">
        <w:t>.4.2</w:t>
      </w:r>
      <w:r w:rsidR="0084709A">
        <w:tab/>
      </w:r>
      <w:r>
        <w:tab/>
      </w:r>
      <w:r w:rsidR="0084709A">
        <w:t>OTC AIM Model Rule</w:t>
      </w:r>
      <w:bookmarkEnd w:id="141"/>
      <w:bookmarkEnd w:id="142"/>
      <w:bookmarkEnd w:id="143"/>
      <w:bookmarkEnd w:id="144"/>
      <w:bookmarkEnd w:id="145"/>
      <w:r w:rsidR="0084709A">
        <w:t xml:space="preserve"> </w:t>
      </w:r>
    </w:p>
    <w:p w:rsidR="0084709A" w:rsidRDefault="0084709A" w:rsidP="0084709A">
      <w:pPr>
        <w:pStyle w:val="NoSpacing"/>
        <w:spacing w:after="120"/>
        <w:ind w:left="360"/>
        <w:jc w:val="both"/>
        <w:rPr>
          <w:rFonts w:asciiTheme="minorHAnsi" w:hAnsiTheme="minorHAnsi"/>
        </w:rPr>
      </w:pPr>
      <w:r>
        <w:rPr>
          <w:rFonts w:asciiTheme="minorHAnsi" w:hAnsiTheme="minorHAnsi"/>
        </w:rPr>
        <w:t>Key provisions of the AIM model rule include:</w:t>
      </w:r>
    </w:p>
    <w:p w:rsidR="0084709A" w:rsidRDefault="0084709A" w:rsidP="0084709A">
      <w:pPr>
        <w:pStyle w:val="NoSpacing"/>
        <w:numPr>
          <w:ilvl w:val="0"/>
          <w:numId w:val="34"/>
        </w:numPr>
        <w:ind w:left="900" w:hanging="180"/>
        <w:jc w:val="both"/>
        <w:rPr>
          <w:rFonts w:asciiTheme="minorHAnsi" w:hAnsiTheme="minorHAnsi"/>
        </w:rPr>
      </w:pPr>
      <w:r>
        <w:rPr>
          <w:rFonts w:asciiTheme="minorHAnsi" w:hAnsiTheme="minorHAnsi"/>
        </w:rPr>
        <w:t>Eliminate 15 coating categories and sub-categories and combine them with other categories</w:t>
      </w:r>
    </w:p>
    <w:p w:rsidR="0084709A" w:rsidRDefault="0084709A" w:rsidP="0084709A">
      <w:pPr>
        <w:pStyle w:val="NoSpacing"/>
        <w:numPr>
          <w:ilvl w:val="0"/>
          <w:numId w:val="34"/>
        </w:numPr>
        <w:ind w:left="900" w:hanging="180"/>
        <w:jc w:val="both"/>
        <w:rPr>
          <w:rFonts w:asciiTheme="minorHAnsi" w:hAnsiTheme="minorHAnsi"/>
        </w:rPr>
      </w:pPr>
      <w:r>
        <w:rPr>
          <w:rFonts w:asciiTheme="minorHAnsi" w:hAnsiTheme="minorHAnsi"/>
        </w:rPr>
        <w:t>Add 12 coating categories</w:t>
      </w:r>
    </w:p>
    <w:p w:rsidR="0084709A" w:rsidRDefault="0084709A" w:rsidP="0084709A">
      <w:pPr>
        <w:pStyle w:val="NoSpacing"/>
        <w:numPr>
          <w:ilvl w:val="0"/>
          <w:numId w:val="34"/>
        </w:numPr>
        <w:ind w:left="900" w:hanging="180"/>
        <w:jc w:val="both"/>
        <w:rPr>
          <w:rFonts w:asciiTheme="minorHAnsi" w:hAnsiTheme="minorHAnsi"/>
        </w:rPr>
      </w:pPr>
      <w:r>
        <w:rPr>
          <w:rFonts w:asciiTheme="minorHAnsi" w:hAnsiTheme="minorHAnsi"/>
        </w:rPr>
        <w:t>Lower VOC limits on 12 coating categories</w:t>
      </w:r>
    </w:p>
    <w:p w:rsidR="0084709A" w:rsidRDefault="0084709A" w:rsidP="0084709A">
      <w:pPr>
        <w:pStyle w:val="NoSpacing"/>
        <w:numPr>
          <w:ilvl w:val="0"/>
          <w:numId w:val="34"/>
        </w:numPr>
        <w:ind w:left="900" w:hanging="180"/>
        <w:jc w:val="both"/>
        <w:rPr>
          <w:rFonts w:asciiTheme="minorHAnsi" w:hAnsiTheme="minorHAnsi"/>
        </w:rPr>
      </w:pPr>
      <w:r>
        <w:rPr>
          <w:rFonts w:asciiTheme="minorHAnsi" w:hAnsiTheme="minorHAnsi"/>
        </w:rPr>
        <w:t>Broaden the scope of States data collecting authority</w:t>
      </w:r>
    </w:p>
    <w:p w:rsidR="0084709A" w:rsidRDefault="0084709A" w:rsidP="0084709A">
      <w:pPr>
        <w:pStyle w:val="NoSpacing"/>
        <w:numPr>
          <w:ilvl w:val="0"/>
          <w:numId w:val="34"/>
        </w:numPr>
        <w:ind w:left="900" w:hanging="180"/>
        <w:jc w:val="both"/>
        <w:rPr>
          <w:rFonts w:asciiTheme="minorHAnsi" w:hAnsiTheme="minorHAnsi"/>
        </w:rPr>
      </w:pPr>
      <w:r>
        <w:rPr>
          <w:rFonts w:asciiTheme="minorHAnsi" w:hAnsiTheme="minorHAnsi"/>
        </w:rPr>
        <w:t>Add transitional language</w:t>
      </w:r>
    </w:p>
    <w:p w:rsidR="0084709A" w:rsidRDefault="0084709A" w:rsidP="0084709A">
      <w:pPr>
        <w:pStyle w:val="NoSpacing"/>
        <w:numPr>
          <w:ilvl w:val="0"/>
          <w:numId w:val="34"/>
        </w:numPr>
        <w:ind w:left="900" w:hanging="180"/>
        <w:jc w:val="both"/>
        <w:rPr>
          <w:rFonts w:asciiTheme="minorHAnsi" w:hAnsiTheme="minorHAnsi"/>
        </w:rPr>
      </w:pPr>
      <w:r>
        <w:rPr>
          <w:rFonts w:asciiTheme="minorHAnsi" w:hAnsiTheme="minorHAnsi"/>
        </w:rPr>
        <w:t xml:space="preserve">Update definitions and codes as necessary </w:t>
      </w:r>
    </w:p>
    <w:p w:rsidR="0084709A" w:rsidRDefault="0084709A" w:rsidP="0084709A">
      <w:pPr>
        <w:pStyle w:val="NoSpacing"/>
        <w:numPr>
          <w:ilvl w:val="0"/>
          <w:numId w:val="34"/>
        </w:numPr>
        <w:ind w:left="900" w:hanging="180"/>
        <w:jc w:val="both"/>
        <w:rPr>
          <w:rFonts w:asciiTheme="minorHAnsi" w:hAnsiTheme="minorHAnsi"/>
        </w:rPr>
      </w:pPr>
      <w:r>
        <w:rPr>
          <w:rFonts w:asciiTheme="minorHAnsi" w:hAnsiTheme="minorHAnsi"/>
        </w:rPr>
        <w:t>Clarify the quart exemption</w:t>
      </w:r>
    </w:p>
    <w:p w:rsidR="0084709A" w:rsidRDefault="0084709A" w:rsidP="0084709A">
      <w:pPr>
        <w:pStyle w:val="NoSpacing"/>
        <w:spacing w:before="200" w:after="120"/>
        <w:ind w:left="360"/>
        <w:jc w:val="both"/>
        <w:rPr>
          <w:rFonts w:asciiTheme="minorHAnsi" w:hAnsiTheme="minorHAnsi"/>
          <w:u w:val="single"/>
        </w:rPr>
      </w:pPr>
      <w:r>
        <w:rPr>
          <w:rFonts w:asciiTheme="minorHAnsi" w:hAnsiTheme="minorHAnsi"/>
          <w:u w:val="single"/>
        </w:rPr>
        <w:t>Eliminate 15 coating categories and sub-categories</w:t>
      </w:r>
    </w:p>
    <w:p w:rsidR="0084709A" w:rsidRDefault="0084709A" w:rsidP="0084709A">
      <w:pPr>
        <w:pStyle w:val="NoSpacing"/>
        <w:spacing w:after="120"/>
        <w:ind w:left="360"/>
        <w:jc w:val="both"/>
        <w:rPr>
          <w:rFonts w:asciiTheme="minorHAnsi" w:hAnsiTheme="minorHAnsi"/>
        </w:rPr>
      </w:pPr>
      <w:r>
        <w:rPr>
          <w:rFonts w:asciiTheme="minorHAnsi" w:hAnsiTheme="minorHAnsi"/>
        </w:rPr>
        <w:t xml:space="preserve">All coating categories and sub-categories eliminated will be absorbed into existing or new categories with the exception of “temperature indicator safety coatings.”  Surveys conducted by the California Air Resources Board (CARB) in 2001 and 2005 showed that “temperature indicator safety coatings” were not produced in either year.  Furthermore, if a manufacturer decides to begin production of this type of coating in the future, it will fall under the category “industrial maintenance.” The corresponding VOC limits for all the categories to be eliminated will either remain the same or be reduced, ensuring no increased emissions due </w:t>
      </w:r>
      <w:r w:rsidR="0060782B">
        <w:rPr>
          <w:noProof/>
        </w:rPr>
        <mc:AlternateContent>
          <mc:Choice Requires="wps">
            <w:drawing>
              <wp:anchor distT="0" distB="0" distL="114300" distR="114300" simplePos="0" relativeHeight="251706368" behindDoc="0" locked="1" layoutInCell="1" allowOverlap="0" wp14:anchorId="37F0C09B" wp14:editId="2A19CA42">
                <wp:simplePos x="0" y="0"/>
                <wp:positionH relativeFrom="margin">
                  <wp:posOffset>2838450</wp:posOffset>
                </wp:positionH>
                <wp:positionV relativeFrom="bottomMargin">
                  <wp:posOffset>150495</wp:posOffset>
                </wp:positionV>
                <wp:extent cx="914400" cy="237490"/>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237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782B" w:rsidRDefault="0060782B" w:rsidP="0060782B">
                            <w:pPr>
                              <w:ind w:right="60"/>
                              <w:rPr>
                                <w:rFonts w:asciiTheme="minorHAnsi" w:hAnsiTheme="minorHAnsi"/>
                                <w:sz w:val="20"/>
                                <w:szCs w:val="20"/>
                              </w:rPr>
                            </w:pPr>
                            <w:hyperlink w:anchor="TOC" w:history="1">
                              <w:r>
                                <w:rPr>
                                  <w:rStyle w:val="Hyperlink"/>
                                  <w:sz w:val="20"/>
                                  <w:szCs w:val="20"/>
                                </w:rPr>
                                <w:t>Back to TOC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0C09B" id="Text Box 29" o:spid="_x0000_s1040" type="#_x0000_t202" style="position:absolute;left:0;text-align:left;margin-left:223.5pt;margin-top:11.85pt;width:1in;height:18.7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PqDmAIAAKwFAAAOAAAAZHJzL2Uyb0RvYy54bWysVE1v2zAMvQ/YfxB0X52k6ZdRp8hadBgQ&#10;tMXaoWdFlhqhkqhJSuzs14+S7TTteumwi02Jj6RIPvL8ojWabIQPCmxFxwcjSoTlUCv7VNGfD9df&#10;TikJkdmaabCiolsR6MXs86fzxpViAivQtfAEndhQNq6iqxhdWRSBr4Rh4QCcsKiU4A2LePRPRe1Z&#10;g96NLiaj0XHRgK+dBy5CwNurTkln2b+UgsdbKYOIRFcU3xbz1+fvMn2L2TkrnzxzK8X7Z7B/eIVh&#10;ymLQnasrFhlZe/WXK6O4hwAyHnAwBUipuMg5YDbj0Zts7lfMiZwLFie4XZnC/3PLbzZ3nqi6opMz&#10;Siwz2KMH0UbyFVqCV1ifxoUSYfcOgbHFe+xzzjW4BfDngJBiD9MZBESnerTSm/THTAkaYgu2u7Kn&#10;MBwvz8bT6Qg1HFWTw5PpWW5L8WLsfIjfBBiShIp67Gp+ANssQkzhWTlAUqwAWtXXSut8SEwSl9qT&#10;DUMO6DhOOaHFK5S2pKno8eHRKDu2kMw7nLbJjchc6sOlbLsEsxS3WiSMtj+ExFrmPN+JzTgXdhc/&#10;oxNKYqiPGPb4l1d9xLjLAy1yZLBxZ2yUBd/19XXJ6uehZLLD9/0OXd6pBLFdtplE49OBMUuot0gY&#10;D93IBcevFXZvwUK8Yx5nDBuOeyPe4kdqwOpDL1GyAv/7vfuER+qjlpIGZ7ai4deaeUGJ/m5xKDKR&#10;cMjzYXp0MsEYfl+z3NfYtbkEpMQYN5TjWUz4qAdRejCPuF7mKSqqmOUYu6JxEC9jt0lwPXExn2cQ&#10;jrVjcWHvHR/mJHHzoX1k3vUEjsj8Gximm5VveNxhU4MszNcRpMokT4Xuqto3AFdCZnK/vtLO2T9n&#10;1MuSnf0BAAD//wMAUEsDBBQABgAIAAAAIQBisuQY4AAAAAkBAAAPAAAAZHJzL2Rvd25yZXYueG1s&#10;TI/BTsMwEETvSPyDtUhcKuq4lBZCNhVCVGoPPRC49ObGSxIR25HttuHvWU7lODuj2TfFarS9OFGI&#10;nXcIapqBIFd707kG4fNjffcIIibtjO69I4QfirAqr68KnRt/du90qlIjuMTFXCO0KQ25lLFuyeo4&#10;9QM59r58sDqxDI00QZ+53PZylmULaXXn+EOrB3ptqf6ujhZhF/ebyT5s1pMqGrkl2r1tVUK8vRlf&#10;nkEkGtMlDH/4jA4lMx380ZkoeoT5fMlbEsLsfgmCAw9Pig8HhIVSIMtC/l9Q/gIAAP//AwBQSwEC&#10;LQAUAAYACAAAACEAtoM4kv4AAADhAQAAEwAAAAAAAAAAAAAAAAAAAAAAW0NvbnRlbnRfVHlwZXNd&#10;LnhtbFBLAQItABQABgAIAAAAIQA4/SH/1gAAAJQBAAALAAAAAAAAAAAAAAAAAC8BAABfcmVscy8u&#10;cmVsc1BLAQItABQABgAIAAAAIQB0cPqDmAIAAKwFAAAOAAAAAAAAAAAAAAAAAC4CAABkcnMvZTJv&#10;RG9jLnhtbFBLAQItABQABgAIAAAAIQBisuQY4AAAAAkBAAAPAAAAAAAAAAAAAAAAAPIEAABkcnMv&#10;ZG93bnJldi54bWxQSwUGAAAAAAQABADzAAAA/wUAAAAA&#10;" o:allowoverlap="f" fillcolor="white [3201]" stroked="f" strokeweight=".5pt">
                <v:path arrowok="t"/>
                <v:textbox>
                  <w:txbxContent>
                    <w:p w:rsidR="0060782B" w:rsidRDefault="0060782B" w:rsidP="0060782B">
                      <w:pPr>
                        <w:ind w:right="60"/>
                        <w:rPr>
                          <w:rFonts w:asciiTheme="minorHAnsi" w:hAnsiTheme="minorHAnsi"/>
                          <w:sz w:val="20"/>
                          <w:szCs w:val="20"/>
                        </w:rPr>
                      </w:pPr>
                      <w:hyperlink w:anchor="TOC" w:history="1">
                        <w:r>
                          <w:rPr>
                            <w:rStyle w:val="Hyperlink"/>
                            <w:sz w:val="20"/>
                            <w:szCs w:val="20"/>
                          </w:rPr>
                          <w:t>Back to TOC</w:t>
                        </w:r>
                      </w:hyperlink>
                    </w:p>
                  </w:txbxContent>
                </v:textbox>
                <w10:wrap anchorx="margin" anchory="margin"/>
                <w10:anchorlock/>
              </v:shape>
            </w:pict>
          </mc:Fallback>
        </mc:AlternateContent>
      </w:r>
      <w:r>
        <w:rPr>
          <w:rFonts w:asciiTheme="minorHAnsi" w:hAnsiTheme="minorHAnsi"/>
        </w:rPr>
        <w:t>to this action.</w:t>
      </w:r>
    </w:p>
    <w:p w:rsidR="0084709A" w:rsidRDefault="0084709A" w:rsidP="0084709A">
      <w:pPr>
        <w:pStyle w:val="NoSpacing"/>
        <w:spacing w:after="120"/>
        <w:ind w:left="360"/>
        <w:jc w:val="both"/>
        <w:rPr>
          <w:rFonts w:asciiTheme="minorHAnsi" w:hAnsiTheme="minorHAnsi"/>
        </w:rPr>
      </w:pPr>
    </w:p>
    <w:p w:rsidR="0084709A" w:rsidRDefault="0084709A" w:rsidP="0084709A">
      <w:pPr>
        <w:pStyle w:val="NoSpacing"/>
        <w:spacing w:after="120"/>
        <w:ind w:left="360"/>
        <w:jc w:val="both"/>
        <w:rPr>
          <w:rFonts w:asciiTheme="minorHAnsi" w:hAnsiTheme="minorHAnsi"/>
        </w:rPr>
      </w:pPr>
    </w:p>
    <w:p w:rsidR="0084709A" w:rsidRDefault="0084709A" w:rsidP="0084709A">
      <w:pPr>
        <w:rPr>
          <w:rFonts w:asciiTheme="minorHAnsi" w:hAnsiTheme="minorHAnsi"/>
        </w:rPr>
        <w:sectPr w:rsidR="0084709A">
          <w:pgSz w:w="12240" w:h="15840"/>
          <w:pgMar w:top="1440" w:right="1440" w:bottom="1440" w:left="1440" w:header="720" w:footer="720" w:gutter="0"/>
          <w:cols w:space="720"/>
        </w:sectPr>
      </w:pPr>
    </w:p>
    <w:p w:rsidR="0084709A" w:rsidRDefault="0084709A" w:rsidP="0084709A">
      <w:pPr>
        <w:pStyle w:val="NoSpacing"/>
        <w:spacing w:after="200"/>
        <w:ind w:left="360"/>
        <w:rPr>
          <w:rFonts w:asciiTheme="minorHAnsi" w:hAnsiTheme="minorHAnsi"/>
        </w:rPr>
      </w:pPr>
      <w:r>
        <w:rPr>
          <w:rFonts w:asciiTheme="minorHAnsi" w:hAnsiTheme="minorHAnsi"/>
        </w:rPr>
        <w:lastRenderedPageBreak/>
        <w:t>The proposed categories for elimination with the category which it is proposed to be absorbed by:</w:t>
      </w:r>
    </w:p>
    <w:p w:rsidR="00DA6CEC" w:rsidRPr="00DA6CEC" w:rsidRDefault="00DA6CEC" w:rsidP="00DA6CEC">
      <w:pPr>
        <w:pStyle w:val="Caption"/>
        <w:keepNext/>
        <w:spacing w:after="120"/>
        <w:rPr>
          <w:rFonts w:asciiTheme="minorHAnsi" w:hAnsiTheme="minorHAnsi"/>
          <w:sz w:val="22"/>
          <w:szCs w:val="22"/>
        </w:rPr>
      </w:pPr>
      <w:bookmarkStart w:id="146" w:name="_Toc461106797"/>
      <w:r w:rsidRPr="00DA6CEC">
        <w:rPr>
          <w:rFonts w:asciiTheme="minorHAnsi" w:hAnsiTheme="minorHAnsi"/>
          <w:sz w:val="22"/>
          <w:szCs w:val="22"/>
        </w:rPr>
        <w:t>Table 2-1</w:t>
      </w:r>
      <w:r w:rsidR="00CA472B">
        <w:rPr>
          <w:rFonts w:asciiTheme="minorHAnsi" w:hAnsiTheme="minorHAnsi"/>
          <w:sz w:val="22"/>
          <w:szCs w:val="22"/>
        </w:rPr>
        <w:tab/>
      </w:r>
      <w:r w:rsidRPr="00DA6CEC">
        <w:rPr>
          <w:rFonts w:asciiTheme="minorHAnsi" w:hAnsiTheme="minorHAnsi"/>
          <w:sz w:val="22"/>
          <w:szCs w:val="22"/>
        </w:rPr>
        <w:t>Eliminated and Absorbed Categories</w:t>
      </w:r>
      <w:bookmarkEnd w:id="146"/>
    </w:p>
    <w:tbl>
      <w:tblPr>
        <w:tblStyle w:val="GridTable1Light1"/>
        <w:tblW w:w="0" w:type="auto"/>
        <w:jc w:val="center"/>
        <w:tblInd w:w="0" w:type="dxa"/>
        <w:tblLook w:val="04A0" w:firstRow="1" w:lastRow="0" w:firstColumn="1" w:lastColumn="0" w:noHBand="0" w:noVBand="1"/>
      </w:tblPr>
      <w:tblGrid>
        <w:gridCol w:w="4158"/>
        <w:gridCol w:w="3870"/>
      </w:tblGrid>
      <w:tr w:rsidR="0084709A" w:rsidTr="0084709A">
        <w:trPr>
          <w:cnfStyle w:val="100000000000" w:firstRow="1" w:lastRow="0" w:firstColumn="0" w:lastColumn="0" w:oddVBand="0" w:evenVBand="0" w:oddHBand="0" w:evenHBand="0" w:firstRowFirstColumn="0" w:firstRowLastColumn="0" w:lastRowFirstColumn="0" w:lastRowLastColumn="0"/>
          <w:trHeight w:val="368"/>
          <w:jc w:val="center"/>
        </w:trPr>
        <w:tc>
          <w:tcPr>
            <w:cnfStyle w:val="001000000000" w:firstRow="0" w:lastRow="0" w:firstColumn="1" w:lastColumn="0" w:oddVBand="0" w:evenVBand="0" w:oddHBand="0" w:evenHBand="0" w:firstRowFirstColumn="0" w:firstRowLastColumn="0" w:lastRowFirstColumn="0" w:lastRowLastColumn="0"/>
            <w:tcW w:w="4158" w:type="dxa"/>
            <w:tcBorders>
              <w:top w:val="single" w:sz="4" w:space="0" w:color="999999" w:themeColor="text1" w:themeTint="66"/>
              <w:left w:val="single" w:sz="4" w:space="0" w:color="999999" w:themeColor="text1" w:themeTint="66"/>
              <w:right w:val="single" w:sz="4" w:space="0" w:color="999999" w:themeColor="text1" w:themeTint="66"/>
            </w:tcBorders>
            <w:vAlign w:val="center"/>
            <w:hideMark/>
          </w:tcPr>
          <w:p w:rsidR="0084709A" w:rsidRDefault="0084709A">
            <w:pPr>
              <w:pStyle w:val="NoSpacing"/>
              <w:rPr>
                <w:rFonts w:asciiTheme="minorHAnsi" w:hAnsiTheme="minorHAnsi"/>
                <w:szCs w:val="22"/>
              </w:rPr>
            </w:pPr>
            <w:r>
              <w:rPr>
                <w:rFonts w:asciiTheme="minorHAnsi" w:hAnsiTheme="minorHAnsi"/>
                <w:szCs w:val="22"/>
              </w:rPr>
              <w:t>Eliminated Category</w:t>
            </w:r>
          </w:p>
        </w:tc>
        <w:tc>
          <w:tcPr>
            <w:tcW w:w="3870" w:type="dxa"/>
            <w:tcBorders>
              <w:top w:val="single" w:sz="4" w:space="0" w:color="999999" w:themeColor="text1" w:themeTint="66"/>
              <w:left w:val="single" w:sz="4" w:space="0" w:color="999999" w:themeColor="text1" w:themeTint="66"/>
              <w:right w:val="single" w:sz="4" w:space="0" w:color="999999" w:themeColor="text1" w:themeTint="66"/>
            </w:tcBorders>
            <w:vAlign w:val="center"/>
            <w:hideMark/>
          </w:tcPr>
          <w:p w:rsidR="0084709A" w:rsidRDefault="0084709A">
            <w:pPr>
              <w:pStyle w:val="NoSpacing"/>
              <w:ind w:left="72"/>
              <w:cnfStyle w:val="100000000000" w:firstRow="1" w:lastRow="0" w:firstColumn="0" w:lastColumn="0" w:oddVBand="0" w:evenVBand="0" w:oddHBand="0" w:evenHBand="0" w:firstRowFirstColumn="0" w:firstRowLastColumn="0" w:lastRowFirstColumn="0" w:lastRowLastColumn="0"/>
              <w:rPr>
                <w:rFonts w:asciiTheme="minorHAnsi" w:hAnsiTheme="minorHAnsi"/>
                <w:szCs w:val="22"/>
              </w:rPr>
            </w:pPr>
            <w:r>
              <w:rPr>
                <w:rFonts w:asciiTheme="minorHAnsi" w:hAnsiTheme="minorHAnsi"/>
                <w:szCs w:val="22"/>
              </w:rPr>
              <w:t>Absorbed By</w:t>
            </w:r>
          </w:p>
        </w:tc>
      </w:tr>
      <w:tr w:rsidR="0084709A" w:rsidTr="0084709A">
        <w:trPr>
          <w:jc w:val="center"/>
        </w:trPr>
        <w:tc>
          <w:tcPr>
            <w:cnfStyle w:val="001000000000" w:firstRow="0" w:lastRow="0" w:firstColumn="1" w:lastColumn="0" w:oddVBand="0" w:evenVBand="0" w:oddHBand="0" w:evenHBand="0" w:firstRowFirstColumn="0" w:firstRowLastColumn="0" w:lastRowFirstColumn="0" w:lastRowLastColumn="0"/>
            <w:tcW w:w="415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84709A" w:rsidRDefault="0084709A">
            <w:pPr>
              <w:pStyle w:val="NoSpacing"/>
              <w:rPr>
                <w:rFonts w:asciiTheme="minorHAnsi" w:hAnsiTheme="minorHAnsi"/>
                <w:b w:val="0"/>
                <w:szCs w:val="22"/>
              </w:rPr>
            </w:pPr>
            <w:r>
              <w:rPr>
                <w:rFonts w:asciiTheme="minorHAnsi" w:hAnsiTheme="minorHAnsi"/>
                <w:b w:val="0"/>
                <w:szCs w:val="22"/>
              </w:rPr>
              <w:t>Antenna Coatings (530 grams per liter (g/l))</w:t>
            </w:r>
          </w:p>
        </w:tc>
        <w:tc>
          <w:tcPr>
            <w:tcW w:w="387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84709A" w:rsidRDefault="0084709A">
            <w:pPr>
              <w:pStyle w:val="NoSpacing"/>
              <w:ind w:left="72"/>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Pr>
                <w:rFonts w:asciiTheme="minorHAnsi" w:hAnsiTheme="minorHAnsi"/>
                <w:szCs w:val="22"/>
              </w:rPr>
              <w:t>Industrial Maintenance (250 g/l)</w:t>
            </w:r>
          </w:p>
        </w:tc>
      </w:tr>
      <w:tr w:rsidR="0084709A" w:rsidTr="0084709A">
        <w:trPr>
          <w:jc w:val="center"/>
        </w:trPr>
        <w:tc>
          <w:tcPr>
            <w:cnfStyle w:val="001000000000" w:firstRow="0" w:lastRow="0" w:firstColumn="1" w:lastColumn="0" w:oddVBand="0" w:evenVBand="0" w:oddHBand="0" w:evenHBand="0" w:firstRowFirstColumn="0" w:firstRowLastColumn="0" w:lastRowFirstColumn="0" w:lastRowLastColumn="0"/>
            <w:tcW w:w="415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84709A" w:rsidRDefault="0084709A">
            <w:pPr>
              <w:pStyle w:val="NoSpacing"/>
              <w:rPr>
                <w:rFonts w:asciiTheme="minorHAnsi" w:hAnsiTheme="minorHAnsi"/>
                <w:b w:val="0"/>
                <w:szCs w:val="22"/>
              </w:rPr>
            </w:pPr>
            <w:r>
              <w:rPr>
                <w:rFonts w:asciiTheme="minorHAnsi" w:hAnsiTheme="minorHAnsi"/>
                <w:b w:val="0"/>
                <w:szCs w:val="22"/>
              </w:rPr>
              <w:t>Antifouling Coatings (400 g/l)</w:t>
            </w:r>
          </w:p>
        </w:tc>
        <w:tc>
          <w:tcPr>
            <w:tcW w:w="387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84709A" w:rsidRDefault="0084709A">
            <w:pPr>
              <w:pStyle w:val="NoSpacing"/>
              <w:ind w:left="72"/>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Pr>
                <w:rFonts w:asciiTheme="minorHAnsi" w:hAnsiTheme="minorHAnsi"/>
                <w:szCs w:val="22"/>
              </w:rPr>
              <w:t>Industrial Maintenance (250 g/l)</w:t>
            </w:r>
          </w:p>
        </w:tc>
      </w:tr>
      <w:tr w:rsidR="0084709A" w:rsidTr="0084709A">
        <w:trPr>
          <w:jc w:val="center"/>
        </w:trPr>
        <w:tc>
          <w:tcPr>
            <w:cnfStyle w:val="001000000000" w:firstRow="0" w:lastRow="0" w:firstColumn="1" w:lastColumn="0" w:oddVBand="0" w:evenVBand="0" w:oddHBand="0" w:evenHBand="0" w:firstRowFirstColumn="0" w:firstRowLastColumn="0" w:lastRowFirstColumn="0" w:lastRowLastColumn="0"/>
            <w:tcW w:w="415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84709A" w:rsidRDefault="0084709A">
            <w:pPr>
              <w:pStyle w:val="NoSpacing"/>
              <w:rPr>
                <w:rFonts w:asciiTheme="minorHAnsi" w:hAnsiTheme="minorHAnsi"/>
                <w:b w:val="0"/>
                <w:szCs w:val="22"/>
              </w:rPr>
            </w:pPr>
            <w:r>
              <w:rPr>
                <w:rFonts w:asciiTheme="minorHAnsi" w:hAnsiTheme="minorHAnsi"/>
                <w:b w:val="0"/>
                <w:szCs w:val="22"/>
              </w:rPr>
              <w:t>Clear Wood Coatings</w:t>
            </w:r>
          </w:p>
          <w:p w:rsidR="0084709A" w:rsidRDefault="0084709A" w:rsidP="0084709A">
            <w:pPr>
              <w:pStyle w:val="NoSpacing"/>
              <w:numPr>
                <w:ilvl w:val="0"/>
                <w:numId w:val="35"/>
              </w:numPr>
              <w:ind w:left="345" w:hanging="158"/>
              <w:rPr>
                <w:rFonts w:asciiTheme="minorHAnsi" w:hAnsiTheme="minorHAnsi"/>
                <w:b w:val="0"/>
                <w:szCs w:val="22"/>
              </w:rPr>
            </w:pPr>
            <w:r>
              <w:rPr>
                <w:rFonts w:asciiTheme="minorHAnsi" w:hAnsiTheme="minorHAnsi"/>
                <w:b w:val="0"/>
                <w:szCs w:val="22"/>
              </w:rPr>
              <w:t>Clear Brushing Lacquers (680 g/l)</w:t>
            </w:r>
          </w:p>
          <w:p w:rsidR="0084709A" w:rsidRDefault="0084709A" w:rsidP="0084709A">
            <w:pPr>
              <w:pStyle w:val="NoSpacing"/>
              <w:numPr>
                <w:ilvl w:val="0"/>
                <w:numId w:val="35"/>
              </w:numPr>
              <w:ind w:left="345" w:hanging="158"/>
              <w:rPr>
                <w:rFonts w:asciiTheme="minorHAnsi" w:hAnsiTheme="minorHAnsi"/>
                <w:b w:val="0"/>
                <w:szCs w:val="22"/>
              </w:rPr>
            </w:pPr>
            <w:r>
              <w:rPr>
                <w:rFonts w:asciiTheme="minorHAnsi" w:hAnsiTheme="minorHAnsi"/>
                <w:b w:val="0"/>
                <w:szCs w:val="22"/>
              </w:rPr>
              <w:t>Lacquers (550 g/l)</w:t>
            </w:r>
          </w:p>
          <w:p w:rsidR="0084709A" w:rsidRDefault="0084709A" w:rsidP="0084709A">
            <w:pPr>
              <w:pStyle w:val="NoSpacing"/>
              <w:numPr>
                <w:ilvl w:val="0"/>
                <w:numId w:val="35"/>
              </w:numPr>
              <w:ind w:left="345" w:hanging="158"/>
              <w:rPr>
                <w:rFonts w:asciiTheme="minorHAnsi" w:hAnsiTheme="minorHAnsi"/>
                <w:b w:val="0"/>
                <w:szCs w:val="22"/>
              </w:rPr>
            </w:pPr>
            <w:r>
              <w:rPr>
                <w:rFonts w:asciiTheme="minorHAnsi" w:hAnsiTheme="minorHAnsi"/>
                <w:b w:val="0"/>
                <w:szCs w:val="22"/>
              </w:rPr>
              <w:t>Sanding Sealers (350 g/l)</w:t>
            </w:r>
          </w:p>
          <w:p w:rsidR="0084709A" w:rsidRDefault="0084709A" w:rsidP="0084709A">
            <w:pPr>
              <w:pStyle w:val="NoSpacing"/>
              <w:numPr>
                <w:ilvl w:val="0"/>
                <w:numId w:val="35"/>
              </w:numPr>
              <w:ind w:left="345" w:hanging="158"/>
              <w:rPr>
                <w:rFonts w:asciiTheme="minorHAnsi" w:hAnsiTheme="minorHAnsi"/>
                <w:b w:val="0"/>
                <w:szCs w:val="22"/>
              </w:rPr>
            </w:pPr>
            <w:r>
              <w:rPr>
                <w:rFonts w:asciiTheme="minorHAnsi" w:hAnsiTheme="minorHAnsi"/>
                <w:b w:val="0"/>
                <w:szCs w:val="22"/>
              </w:rPr>
              <w:t>Varnishes (350 g/l)</w:t>
            </w:r>
          </w:p>
        </w:tc>
        <w:tc>
          <w:tcPr>
            <w:tcW w:w="387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84709A" w:rsidRDefault="0084709A">
            <w:pPr>
              <w:pStyle w:val="NoSpacing"/>
              <w:ind w:left="72"/>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Pr>
                <w:rFonts w:asciiTheme="minorHAnsi" w:hAnsiTheme="minorHAnsi"/>
                <w:szCs w:val="22"/>
              </w:rPr>
              <w:t>Wood Coatings (275 g/l)</w:t>
            </w:r>
          </w:p>
        </w:tc>
      </w:tr>
      <w:tr w:rsidR="0084709A" w:rsidTr="0084709A">
        <w:trPr>
          <w:jc w:val="center"/>
        </w:trPr>
        <w:tc>
          <w:tcPr>
            <w:cnfStyle w:val="001000000000" w:firstRow="0" w:lastRow="0" w:firstColumn="1" w:lastColumn="0" w:oddVBand="0" w:evenVBand="0" w:oddHBand="0" w:evenHBand="0" w:firstRowFirstColumn="0" w:firstRowLastColumn="0" w:lastRowFirstColumn="0" w:lastRowLastColumn="0"/>
            <w:tcW w:w="415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84709A" w:rsidRDefault="0084709A">
            <w:pPr>
              <w:pStyle w:val="NoSpacing"/>
              <w:rPr>
                <w:rFonts w:asciiTheme="minorHAnsi" w:hAnsiTheme="minorHAnsi"/>
                <w:b w:val="0"/>
                <w:szCs w:val="22"/>
              </w:rPr>
            </w:pPr>
            <w:r>
              <w:rPr>
                <w:rFonts w:asciiTheme="minorHAnsi" w:hAnsiTheme="minorHAnsi"/>
                <w:b w:val="0"/>
                <w:szCs w:val="22"/>
              </w:rPr>
              <w:t>Fire Retardant Coatings</w:t>
            </w:r>
          </w:p>
          <w:p w:rsidR="0084709A" w:rsidRDefault="0084709A" w:rsidP="0084709A">
            <w:pPr>
              <w:pStyle w:val="NoSpacing"/>
              <w:numPr>
                <w:ilvl w:val="0"/>
                <w:numId w:val="36"/>
              </w:numPr>
              <w:ind w:left="345" w:hanging="158"/>
              <w:rPr>
                <w:rFonts w:asciiTheme="minorHAnsi" w:hAnsiTheme="minorHAnsi"/>
                <w:b w:val="0"/>
                <w:szCs w:val="22"/>
              </w:rPr>
            </w:pPr>
            <w:r>
              <w:rPr>
                <w:rFonts w:asciiTheme="minorHAnsi" w:hAnsiTheme="minorHAnsi"/>
                <w:b w:val="0"/>
                <w:szCs w:val="22"/>
              </w:rPr>
              <w:t>Clear (650 g/l)</w:t>
            </w:r>
          </w:p>
          <w:p w:rsidR="0084709A" w:rsidRDefault="0084709A" w:rsidP="0084709A">
            <w:pPr>
              <w:pStyle w:val="NoSpacing"/>
              <w:numPr>
                <w:ilvl w:val="0"/>
                <w:numId w:val="36"/>
              </w:numPr>
              <w:ind w:left="337" w:hanging="157"/>
              <w:rPr>
                <w:rFonts w:asciiTheme="minorHAnsi" w:hAnsiTheme="minorHAnsi"/>
                <w:b w:val="0"/>
                <w:szCs w:val="22"/>
              </w:rPr>
            </w:pPr>
            <w:r>
              <w:rPr>
                <w:rFonts w:asciiTheme="minorHAnsi" w:hAnsiTheme="minorHAnsi"/>
                <w:b w:val="0"/>
                <w:szCs w:val="22"/>
              </w:rPr>
              <w:t>Opaque (350 g/l)</w:t>
            </w:r>
          </w:p>
        </w:tc>
        <w:tc>
          <w:tcPr>
            <w:tcW w:w="387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84709A" w:rsidRDefault="0084709A">
            <w:pPr>
              <w:pStyle w:val="NoSpacing"/>
              <w:ind w:left="72"/>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Pr>
                <w:rFonts w:asciiTheme="minorHAnsi" w:hAnsiTheme="minorHAnsi"/>
                <w:szCs w:val="22"/>
              </w:rPr>
              <w:t>Industrial Maintenance (250 g/l)</w:t>
            </w:r>
          </w:p>
        </w:tc>
      </w:tr>
      <w:tr w:rsidR="0084709A" w:rsidTr="0084709A">
        <w:trPr>
          <w:jc w:val="center"/>
        </w:trPr>
        <w:tc>
          <w:tcPr>
            <w:cnfStyle w:val="001000000000" w:firstRow="0" w:lastRow="0" w:firstColumn="1" w:lastColumn="0" w:oddVBand="0" w:evenVBand="0" w:oddHBand="0" w:evenHBand="0" w:firstRowFirstColumn="0" w:firstRowLastColumn="0" w:lastRowFirstColumn="0" w:lastRowLastColumn="0"/>
            <w:tcW w:w="415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84709A" w:rsidRDefault="0084709A">
            <w:pPr>
              <w:pStyle w:val="NoSpacing"/>
              <w:rPr>
                <w:rFonts w:asciiTheme="minorHAnsi" w:hAnsiTheme="minorHAnsi"/>
                <w:b w:val="0"/>
                <w:szCs w:val="22"/>
              </w:rPr>
            </w:pPr>
            <w:r>
              <w:rPr>
                <w:rFonts w:asciiTheme="minorHAnsi" w:hAnsiTheme="minorHAnsi"/>
                <w:b w:val="0"/>
                <w:szCs w:val="22"/>
              </w:rPr>
              <w:t>Flow Coatings (420 g/l)</w:t>
            </w:r>
          </w:p>
        </w:tc>
        <w:tc>
          <w:tcPr>
            <w:tcW w:w="387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84709A" w:rsidRDefault="0084709A">
            <w:pPr>
              <w:pStyle w:val="NoSpacing"/>
              <w:ind w:left="72"/>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Pr>
                <w:rFonts w:asciiTheme="minorHAnsi" w:hAnsiTheme="minorHAnsi"/>
                <w:szCs w:val="22"/>
              </w:rPr>
              <w:t>Industrial Maintenance (250 g/l)</w:t>
            </w:r>
          </w:p>
        </w:tc>
      </w:tr>
      <w:tr w:rsidR="0084709A" w:rsidTr="0084709A">
        <w:trPr>
          <w:trHeight w:val="773"/>
          <w:jc w:val="center"/>
        </w:trPr>
        <w:tc>
          <w:tcPr>
            <w:cnfStyle w:val="001000000000" w:firstRow="0" w:lastRow="0" w:firstColumn="1" w:lastColumn="0" w:oddVBand="0" w:evenVBand="0" w:oddHBand="0" w:evenHBand="0" w:firstRowFirstColumn="0" w:firstRowLastColumn="0" w:lastRowFirstColumn="0" w:lastRowLastColumn="0"/>
            <w:tcW w:w="415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84709A" w:rsidRDefault="0084709A">
            <w:pPr>
              <w:pStyle w:val="NoSpacing"/>
              <w:rPr>
                <w:rFonts w:asciiTheme="minorHAnsi" w:hAnsiTheme="minorHAnsi"/>
                <w:b w:val="0"/>
                <w:szCs w:val="22"/>
              </w:rPr>
            </w:pPr>
            <w:r>
              <w:rPr>
                <w:rFonts w:asciiTheme="minorHAnsi" w:hAnsiTheme="minorHAnsi"/>
                <w:b w:val="0"/>
                <w:szCs w:val="22"/>
              </w:rPr>
              <w:t>Quick Dry Enamels (250 g/l)</w:t>
            </w:r>
          </w:p>
        </w:tc>
        <w:tc>
          <w:tcPr>
            <w:tcW w:w="387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84709A" w:rsidRDefault="0084709A">
            <w:pPr>
              <w:pStyle w:val="NoSpacing"/>
              <w:ind w:left="72"/>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Pr>
                <w:rFonts w:asciiTheme="minorHAnsi" w:hAnsiTheme="minorHAnsi"/>
                <w:szCs w:val="22"/>
              </w:rPr>
              <w:t>Flat (50 g/l) or</w:t>
            </w:r>
          </w:p>
          <w:p w:rsidR="0084709A" w:rsidRDefault="0084709A">
            <w:pPr>
              <w:pStyle w:val="NoSpacing"/>
              <w:ind w:left="72"/>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Pr>
                <w:rFonts w:asciiTheme="minorHAnsi" w:hAnsiTheme="minorHAnsi"/>
                <w:szCs w:val="22"/>
              </w:rPr>
              <w:t xml:space="preserve">Nonflat (100 g/l) or </w:t>
            </w:r>
          </w:p>
          <w:p w:rsidR="0084709A" w:rsidRDefault="0084709A">
            <w:pPr>
              <w:pStyle w:val="NoSpacing"/>
              <w:ind w:left="72"/>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Pr>
                <w:rFonts w:asciiTheme="minorHAnsi" w:hAnsiTheme="minorHAnsi"/>
                <w:szCs w:val="22"/>
              </w:rPr>
              <w:t>Nonflat High Gloss (150 g/l)</w:t>
            </w:r>
          </w:p>
        </w:tc>
      </w:tr>
      <w:tr w:rsidR="0084709A" w:rsidTr="0084709A">
        <w:trPr>
          <w:jc w:val="center"/>
        </w:trPr>
        <w:tc>
          <w:tcPr>
            <w:cnfStyle w:val="001000000000" w:firstRow="0" w:lastRow="0" w:firstColumn="1" w:lastColumn="0" w:oddVBand="0" w:evenVBand="0" w:oddHBand="0" w:evenHBand="0" w:firstRowFirstColumn="0" w:firstRowLastColumn="0" w:lastRowFirstColumn="0" w:lastRowLastColumn="0"/>
            <w:tcW w:w="415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84709A" w:rsidRDefault="0084709A">
            <w:pPr>
              <w:pStyle w:val="NoSpacing"/>
              <w:rPr>
                <w:rFonts w:asciiTheme="minorHAnsi" w:hAnsiTheme="minorHAnsi"/>
                <w:b w:val="0"/>
                <w:szCs w:val="22"/>
              </w:rPr>
            </w:pPr>
            <w:r>
              <w:rPr>
                <w:rFonts w:asciiTheme="minorHAnsi" w:hAnsiTheme="minorHAnsi"/>
                <w:b w:val="0"/>
                <w:szCs w:val="22"/>
              </w:rPr>
              <w:t>Quick Dry Primers, Sealers &amp; Undercoaters (200 g/l)</w:t>
            </w:r>
          </w:p>
        </w:tc>
        <w:tc>
          <w:tcPr>
            <w:tcW w:w="387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84709A" w:rsidRDefault="0084709A">
            <w:pPr>
              <w:pStyle w:val="NoSpacing"/>
              <w:ind w:left="72"/>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Pr>
                <w:rFonts w:asciiTheme="minorHAnsi" w:hAnsiTheme="minorHAnsi"/>
                <w:szCs w:val="22"/>
              </w:rPr>
              <w:t>Specialty Primers, Sealers &amp; Undercoaters (100 g/l)</w:t>
            </w:r>
          </w:p>
        </w:tc>
      </w:tr>
      <w:tr w:rsidR="0084709A" w:rsidTr="0084709A">
        <w:trPr>
          <w:jc w:val="center"/>
        </w:trPr>
        <w:tc>
          <w:tcPr>
            <w:cnfStyle w:val="001000000000" w:firstRow="0" w:lastRow="0" w:firstColumn="1" w:lastColumn="0" w:oddVBand="0" w:evenVBand="0" w:oddHBand="0" w:evenHBand="0" w:firstRowFirstColumn="0" w:firstRowLastColumn="0" w:lastRowFirstColumn="0" w:lastRowLastColumn="0"/>
            <w:tcW w:w="415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84709A" w:rsidRDefault="0084709A">
            <w:pPr>
              <w:pStyle w:val="NoSpacing"/>
              <w:rPr>
                <w:rFonts w:asciiTheme="minorHAnsi" w:hAnsiTheme="minorHAnsi"/>
                <w:b w:val="0"/>
                <w:szCs w:val="22"/>
              </w:rPr>
            </w:pPr>
            <w:r>
              <w:rPr>
                <w:rFonts w:asciiTheme="minorHAnsi" w:hAnsiTheme="minorHAnsi"/>
                <w:b w:val="0"/>
                <w:szCs w:val="22"/>
              </w:rPr>
              <w:t>Swimming Pool Repair &amp; Maintenance Coatings (340 g/l)</w:t>
            </w:r>
          </w:p>
        </w:tc>
        <w:tc>
          <w:tcPr>
            <w:tcW w:w="387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84709A" w:rsidRDefault="0084709A">
            <w:pPr>
              <w:pStyle w:val="NoSpacing"/>
              <w:ind w:left="72"/>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Pr>
                <w:rFonts w:asciiTheme="minorHAnsi" w:hAnsiTheme="minorHAnsi"/>
                <w:szCs w:val="22"/>
              </w:rPr>
              <w:t>Swimming Pool Coatings (340 g/l)</w:t>
            </w:r>
          </w:p>
        </w:tc>
      </w:tr>
      <w:tr w:rsidR="0084709A" w:rsidTr="0084709A">
        <w:trPr>
          <w:jc w:val="center"/>
        </w:trPr>
        <w:tc>
          <w:tcPr>
            <w:cnfStyle w:val="001000000000" w:firstRow="0" w:lastRow="0" w:firstColumn="1" w:lastColumn="0" w:oddVBand="0" w:evenVBand="0" w:oddHBand="0" w:evenHBand="0" w:firstRowFirstColumn="0" w:firstRowLastColumn="0" w:lastRowFirstColumn="0" w:lastRowLastColumn="0"/>
            <w:tcW w:w="415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84709A" w:rsidRDefault="0084709A">
            <w:pPr>
              <w:pStyle w:val="NoSpacing"/>
              <w:rPr>
                <w:rFonts w:asciiTheme="minorHAnsi" w:hAnsiTheme="minorHAnsi"/>
                <w:b w:val="0"/>
                <w:szCs w:val="22"/>
              </w:rPr>
            </w:pPr>
            <w:r>
              <w:rPr>
                <w:rFonts w:asciiTheme="minorHAnsi" w:hAnsiTheme="minorHAnsi"/>
                <w:b w:val="0"/>
                <w:szCs w:val="22"/>
              </w:rPr>
              <w:t>Temperature Indicator Coatings (550 g/l)</w:t>
            </w:r>
          </w:p>
        </w:tc>
        <w:tc>
          <w:tcPr>
            <w:tcW w:w="387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84709A" w:rsidRDefault="0084709A">
            <w:pPr>
              <w:pStyle w:val="NoSpacing"/>
              <w:ind w:left="72"/>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Pr>
                <w:rFonts w:asciiTheme="minorHAnsi" w:hAnsiTheme="minorHAnsi"/>
                <w:szCs w:val="22"/>
              </w:rPr>
              <w:t>Industrial Maintenance (250 g/l)</w:t>
            </w:r>
          </w:p>
        </w:tc>
      </w:tr>
      <w:tr w:rsidR="0084709A" w:rsidTr="0084709A">
        <w:trPr>
          <w:jc w:val="center"/>
        </w:trPr>
        <w:tc>
          <w:tcPr>
            <w:cnfStyle w:val="001000000000" w:firstRow="0" w:lastRow="0" w:firstColumn="1" w:lastColumn="0" w:oddVBand="0" w:evenVBand="0" w:oddHBand="0" w:evenHBand="0" w:firstRowFirstColumn="0" w:firstRowLastColumn="0" w:lastRowFirstColumn="0" w:lastRowLastColumn="0"/>
            <w:tcW w:w="415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84709A" w:rsidRDefault="0084709A">
            <w:pPr>
              <w:pStyle w:val="NoSpacing"/>
              <w:rPr>
                <w:rFonts w:asciiTheme="minorHAnsi" w:hAnsiTheme="minorHAnsi"/>
                <w:b w:val="0"/>
                <w:szCs w:val="22"/>
              </w:rPr>
            </w:pPr>
            <w:r>
              <w:rPr>
                <w:rFonts w:asciiTheme="minorHAnsi" w:hAnsiTheme="minorHAnsi"/>
                <w:b w:val="0"/>
                <w:szCs w:val="22"/>
              </w:rPr>
              <w:t>Waterproofing Sealers (250 g/l)</w:t>
            </w:r>
          </w:p>
        </w:tc>
        <w:tc>
          <w:tcPr>
            <w:tcW w:w="387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84709A" w:rsidRDefault="0084709A">
            <w:pPr>
              <w:pStyle w:val="NoSpacing"/>
              <w:ind w:left="72"/>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Pr>
                <w:rFonts w:asciiTheme="minorHAnsi" w:hAnsiTheme="minorHAnsi"/>
                <w:szCs w:val="22"/>
              </w:rPr>
              <w:t>Basement Specialty Coatings (400 g/l) or</w:t>
            </w:r>
          </w:p>
          <w:p w:rsidR="0084709A" w:rsidRDefault="0084709A">
            <w:pPr>
              <w:pStyle w:val="NoSpacing"/>
              <w:ind w:left="72"/>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Pr>
                <w:rFonts w:asciiTheme="minorHAnsi" w:hAnsiTheme="minorHAnsi"/>
                <w:szCs w:val="22"/>
              </w:rPr>
              <w:t>Concrete/Masonry Sealers (100 g/l) or</w:t>
            </w:r>
          </w:p>
          <w:p w:rsidR="0084709A" w:rsidRDefault="0084709A">
            <w:pPr>
              <w:pStyle w:val="NoSpacing"/>
              <w:ind w:left="72"/>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Pr>
                <w:rFonts w:asciiTheme="minorHAnsi" w:hAnsiTheme="minorHAnsi"/>
                <w:szCs w:val="22"/>
              </w:rPr>
              <w:t>Waterproofing Membranes (250 g/l)</w:t>
            </w:r>
          </w:p>
        </w:tc>
      </w:tr>
      <w:tr w:rsidR="0084709A" w:rsidTr="0084709A">
        <w:trPr>
          <w:jc w:val="center"/>
        </w:trPr>
        <w:tc>
          <w:tcPr>
            <w:cnfStyle w:val="001000000000" w:firstRow="0" w:lastRow="0" w:firstColumn="1" w:lastColumn="0" w:oddVBand="0" w:evenVBand="0" w:oddHBand="0" w:evenHBand="0" w:firstRowFirstColumn="0" w:firstRowLastColumn="0" w:lastRowFirstColumn="0" w:lastRowLastColumn="0"/>
            <w:tcW w:w="415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84709A" w:rsidRDefault="0084709A">
            <w:pPr>
              <w:pStyle w:val="NoSpacing"/>
              <w:rPr>
                <w:rFonts w:asciiTheme="minorHAnsi" w:hAnsiTheme="minorHAnsi"/>
                <w:b w:val="0"/>
                <w:szCs w:val="22"/>
              </w:rPr>
            </w:pPr>
            <w:r>
              <w:rPr>
                <w:rFonts w:asciiTheme="minorHAnsi" w:hAnsiTheme="minorHAnsi"/>
                <w:b w:val="0"/>
                <w:szCs w:val="22"/>
              </w:rPr>
              <w:t>Waterproofing Concrete/Masonry Sealers (400 g/l)</w:t>
            </w:r>
          </w:p>
        </w:tc>
        <w:tc>
          <w:tcPr>
            <w:tcW w:w="387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84709A" w:rsidRDefault="0084709A">
            <w:pPr>
              <w:pStyle w:val="NoSpacing"/>
              <w:ind w:left="72"/>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Pr>
                <w:rFonts w:asciiTheme="minorHAnsi" w:hAnsiTheme="minorHAnsi"/>
                <w:szCs w:val="22"/>
              </w:rPr>
              <w:t>Basement Specialty Coatings (400 g/l) or</w:t>
            </w:r>
          </w:p>
          <w:p w:rsidR="0084709A" w:rsidRDefault="0084709A">
            <w:pPr>
              <w:pStyle w:val="NoSpacing"/>
              <w:ind w:left="72"/>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Pr>
                <w:rFonts w:asciiTheme="minorHAnsi" w:hAnsiTheme="minorHAnsi"/>
                <w:szCs w:val="22"/>
              </w:rPr>
              <w:t>Concrete/Masonry Sealers (100 g/l) or</w:t>
            </w:r>
          </w:p>
          <w:p w:rsidR="0084709A" w:rsidRDefault="0084709A">
            <w:pPr>
              <w:pStyle w:val="NoSpacing"/>
              <w:ind w:left="72"/>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Pr>
                <w:rFonts w:asciiTheme="minorHAnsi" w:hAnsiTheme="minorHAnsi"/>
                <w:szCs w:val="22"/>
              </w:rPr>
              <w:t>Waterproofing Membranes (250 g/l)</w:t>
            </w:r>
          </w:p>
        </w:tc>
      </w:tr>
    </w:tbl>
    <w:p w:rsidR="0084709A" w:rsidRDefault="0084709A" w:rsidP="0084709A">
      <w:pPr>
        <w:pStyle w:val="NoSpacing"/>
        <w:spacing w:before="200" w:after="120"/>
        <w:ind w:left="360"/>
        <w:rPr>
          <w:rFonts w:asciiTheme="minorHAnsi" w:hAnsiTheme="minorHAnsi"/>
          <w:u w:val="single"/>
        </w:rPr>
      </w:pPr>
      <w:r>
        <w:rPr>
          <w:rFonts w:asciiTheme="minorHAnsi" w:hAnsiTheme="minorHAnsi"/>
          <w:u w:val="single"/>
        </w:rPr>
        <w:t>Add 12 coating categories</w:t>
      </w:r>
    </w:p>
    <w:p w:rsidR="0084709A" w:rsidRDefault="0084709A" w:rsidP="0084709A">
      <w:pPr>
        <w:pStyle w:val="NoSpacing"/>
        <w:spacing w:after="120"/>
        <w:ind w:left="360"/>
        <w:jc w:val="both"/>
        <w:rPr>
          <w:rFonts w:asciiTheme="minorHAnsi" w:hAnsiTheme="minorHAnsi"/>
        </w:rPr>
      </w:pPr>
      <w:r>
        <w:rPr>
          <w:rFonts w:asciiTheme="minorHAnsi" w:hAnsiTheme="minorHAnsi"/>
        </w:rPr>
        <w:t xml:space="preserve">The new categories are added due to consolidation of eliminated categories or manufacturing progress/updates.  Three new categories “basement specialty coatings,” “concrete/masonry sealer” and “waterproofing membranes” will absorb the two eliminated categories “waterproofing sealers” and “waterproofing concrete/masonry sealers” depending on the type of coating technology used and corresponding substrate. A new category “wood coatings” will absorb the eliminated category “clear wood coatings” with sub-categories “clear brushing lacquers”, “lacquers”, “sanding sealers” and “varnishes.”  The remaining new categories, “aluminum roof,” “conjugated oil varnish,” “reactive penetrating sealer,” “reactive penetrating carbonate stone sealer,” “stone consolidants,” “tub and tile refinish” </w:t>
      </w:r>
      <w:r w:rsidR="0060782B">
        <w:rPr>
          <w:noProof/>
        </w:rPr>
        <mc:AlternateContent>
          <mc:Choice Requires="wps">
            <w:drawing>
              <wp:anchor distT="0" distB="0" distL="114300" distR="114300" simplePos="0" relativeHeight="251708416" behindDoc="0" locked="1" layoutInCell="1" allowOverlap="0" wp14:anchorId="37F0C09B" wp14:editId="2A19CA42">
                <wp:simplePos x="0" y="0"/>
                <wp:positionH relativeFrom="margin">
                  <wp:posOffset>3038475</wp:posOffset>
                </wp:positionH>
                <wp:positionV relativeFrom="bottomMargin">
                  <wp:posOffset>113030</wp:posOffset>
                </wp:positionV>
                <wp:extent cx="914400" cy="237490"/>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237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782B" w:rsidRDefault="0060782B" w:rsidP="0060782B">
                            <w:pPr>
                              <w:ind w:right="60"/>
                              <w:rPr>
                                <w:rFonts w:asciiTheme="minorHAnsi" w:hAnsiTheme="minorHAnsi"/>
                                <w:sz w:val="20"/>
                                <w:szCs w:val="20"/>
                              </w:rPr>
                            </w:pPr>
                            <w:hyperlink w:anchor="TOC" w:history="1">
                              <w:r>
                                <w:rPr>
                                  <w:rStyle w:val="Hyperlink"/>
                                  <w:sz w:val="20"/>
                                  <w:szCs w:val="20"/>
                                </w:rPr>
                                <w:t>Back to TOC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0C09B" id="Text Box 30" o:spid="_x0000_s1041" type="#_x0000_t202" style="position:absolute;left:0;text-align:left;margin-left:239.25pt;margin-top:8.9pt;width:1in;height:18.7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OIlwIAAKwFAAAOAAAAZHJzL2Uyb0RvYy54bWysVFFPGzEMfp+0/xDlfVxbCowTV9SBmCZV&#10;gAYTz2kuoRFJnCVp77pfj5O7K4XxwrSXOyf+bMf2Z5+dt0aTjfBBga3o+GBEibAcamUfK/rr/urL&#10;V0pCZLZmGqyo6FYEej77/OmscaWYwAp0LTxBJzaUjavoKkZXFkXgK2FYOAAnLColeMMiHv1jUXvW&#10;oHeji8lodFw04GvngYsQ8PayU9JZ9i+l4PFGyiAi0RXFt8X89fm7TN9idsbKR8/cSvH+GewfXmGY&#10;shh05+qSRUbWXv3lyijuIYCMBxxMAVIqLnIOmM149CabuxVzIueCxQluV6bw/9zy682tJ6qu6CGW&#10;xzKDPboXbSTfoCV4hfVpXCgRducQGFu8xz7nXINbAH8KCCn2MJ1BQHSqRyu9SX/MlKAhxtjuyp7C&#10;cLw8HU+nI9RwVE0OT6anOWzxYux8iN8FGJKEinrsan4A2yxCTOFZOUBSrABa1VdK63xITBIX2pMN&#10;Qw7oOE45ocUrlLakqejx4dEoO7aQzDuctsmNyFzqw6VsuwSzFLdaJIy2P4XEWuY834nNOBd2Fz+j&#10;E0piqI8Y9viXV33EuMsDLXJksHFnbJQF3/X1dcnqp6FkssP3/Q5d3qkEsV22mUTj04ExS6i3SBgP&#10;3cgFx68Udm/BQrxlHmcMG457I97gR2rA6kMvUbIC/+e9+4RH6qOWkgZntqLh95p5QYn+YXEoMpFw&#10;yPNhenQywRh+X7Pc19i1uQCkxBg3lONZTPioB1F6MA+4XuYpKqqY5Ri7onEQL2K3SXA9cTGfZxCO&#10;tWNxYe8cH+YkcfO+fWDe9QSOyPxrGKablW943GFTgyzM1xGkyiRPhe6q2jcAV0Jmcr++0s7ZP2fU&#10;y5KdPQMAAP//AwBQSwMEFAAGAAgAAAAhAIWUuAHfAAAACQEAAA8AAABkcnMvZG93bnJldi54bWxM&#10;j8FuwjAQRO+V+AdrkXpBxSFqAKVxEEJFggOHpr1wM/E2iRqvI9tA+vfdntrjzjzNzhSb0fbihj50&#10;jhQs5gkIpNqZjhoFH+/7pzWIEDUZ3TtCBd8YYFNOHgqdG3enN7xVsREcQiHXCtoYh1zKULdodZi7&#10;AYm9T+etjnz6Rhqv7xxue5kmyVJa3RF/aPWAuxbrr+pqFZzC+TA7+8N+VgUjj4in1+MiKvU4Hbcv&#10;ICKO8Q+G3/pcHUrudHFXMkH0Cp5X64xRNlY8gYFlmrJwUZBlKciykP8XlD8AAAD//wMAUEsBAi0A&#10;FAAGAAgAAAAhALaDOJL+AAAA4QEAABMAAAAAAAAAAAAAAAAAAAAAAFtDb250ZW50X1R5cGVzXS54&#10;bWxQSwECLQAUAAYACAAAACEAOP0h/9YAAACUAQAACwAAAAAAAAAAAAAAAAAvAQAAX3JlbHMvLnJl&#10;bHNQSwECLQAUAAYACAAAACEAvxejiJcCAACsBQAADgAAAAAAAAAAAAAAAAAuAgAAZHJzL2Uyb0Rv&#10;Yy54bWxQSwECLQAUAAYACAAAACEAhZS4Ad8AAAAJAQAADwAAAAAAAAAAAAAAAADxBAAAZHJzL2Rv&#10;d25yZXYueG1sUEsFBgAAAAAEAAQA8wAAAP0FAAAAAA==&#10;" o:allowoverlap="f" fillcolor="white [3201]" stroked="f" strokeweight=".5pt">
                <v:path arrowok="t"/>
                <v:textbox>
                  <w:txbxContent>
                    <w:p w:rsidR="0060782B" w:rsidRDefault="0060782B" w:rsidP="0060782B">
                      <w:pPr>
                        <w:ind w:right="60"/>
                        <w:rPr>
                          <w:rFonts w:asciiTheme="minorHAnsi" w:hAnsiTheme="minorHAnsi"/>
                          <w:sz w:val="20"/>
                          <w:szCs w:val="20"/>
                        </w:rPr>
                      </w:pPr>
                      <w:hyperlink w:anchor="TOC" w:history="1">
                        <w:r>
                          <w:rPr>
                            <w:rStyle w:val="Hyperlink"/>
                            <w:sz w:val="20"/>
                            <w:szCs w:val="20"/>
                          </w:rPr>
                          <w:t>Back to TOC</w:t>
                        </w:r>
                      </w:hyperlink>
                    </w:p>
                  </w:txbxContent>
                </v:textbox>
                <w10:wrap anchorx="margin" anchory="margin"/>
                <w10:anchorlock/>
              </v:shape>
            </w:pict>
          </mc:Fallback>
        </mc:AlternateContent>
      </w:r>
      <w:r>
        <w:rPr>
          <w:rFonts w:asciiTheme="minorHAnsi" w:hAnsiTheme="minorHAnsi"/>
        </w:rPr>
        <w:t>and “zinc-rich primer” are a result of new data, manufacturing updates and stakeholder input.</w:t>
      </w:r>
      <w:r>
        <w:rPr>
          <w:rFonts w:asciiTheme="minorHAnsi" w:hAnsiTheme="minorHAnsi"/>
          <w:b/>
          <w:noProof/>
        </w:rPr>
        <w:t xml:space="preserve"> </w:t>
      </w:r>
    </w:p>
    <w:p w:rsidR="0084709A" w:rsidRDefault="0084709A" w:rsidP="0084709A">
      <w:pPr>
        <w:rPr>
          <w:rFonts w:asciiTheme="minorHAnsi" w:hAnsiTheme="minorHAnsi"/>
        </w:rPr>
        <w:sectPr w:rsidR="0084709A">
          <w:pgSz w:w="12240" w:h="15840"/>
          <w:pgMar w:top="1440" w:right="1440" w:bottom="1440" w:left="1440" w:header="720" w:footer="720" w:gutter="0"/>
          <w:cols w:space="720"/>
        </w:sectPr>
      </w:pPr>
    </w:p>
    <w:p w:rsidR="0084709A" w:rsidRDefault="0084709A" w:rsidP="0084709A">
      <w:pPr>
        <w:pStyle w:val="NoSpacing"/>
        <w:spacing w:after="200"/>
        <w:ind w:left="360"/>
        <w:rPr>
          <w:rFonts w:asciiTheme="minorHAnsi" w:hAnsiTheme="minorHAnsi"/>
        </w:rPr>
      </w:pPr>
      <w:r>
        <w:rPr>
          <w:rFonts w:asciiTheme="minorHAnsi" w:hAnsiTheme="minorHAnsi"/>
        </w:rPr>
        <w:lastRenderedPageBreak/>
        <w:t xml:space="preserve">The proposed categories for addition are: </w:t>
      </w:r>
    </w:p>
    <w:p w:rsidR="00DA6CEC" w:rsidRPr="00DA6CEC" w:rsidRDefault="00DA6CEC" w:rsidP="00DA6CEC">
      <w:pPr>
        <w:pStyle w:val="Caption"/>
        <w:keepNext/>
        <w:spacing w:after="120"/>
        <w:rPr>
          <w:rFonts w:asciiTheme="minorHAnsi" w:hAnsiTheme="minorHAnsi"/>
          <w:sz w:val="22"/>
          <w:szCs w:val="22"/>
        </w:rPr>
      </w:pPr>
      <w:bookmarkStart w:id="147" w:name="_Toc461106798"/>
      <w:r w:rsidRPr="00DA6CEC">
        <w:rPr>
          <w:rFonts w:asciiTheme="minorHAnsi" w:hAnsiTheme="minorHAnsi"/>
          <w:sz w:val="22"/>
          <w:szCs w:val="22"/>
        </w:rPr>
        <w:t>Table 2-2</w:t>
      </w:r>
      <w:r w:rsidR="00CA472B">
        <w:rPr>
          <w:rFonts w:asciiTheme="minorHAnsi" w:hAnsiTheme="minorHAnsi"/>
          <w:sz w:val="22"/>
          <w:szCs w:val="22"/>
        </w:rPr>
        <w:tab/>
      </w:r>
      <w:r w:rsidRPr="00DA6CEC">
        <w:rPr>
          <w:rFonts w:asciiTheme="minorHAnsi" w:hAnsiTheme="minorHAnsi"/>
          <w:sz w:val="22"/>
          <w:szCs w:val="22"/>
        </w:rPr>
        <w:t>New Coating Categories</w:t>
      </w:r>
      <w:bookmarkEnd w:id="147"/>
    </w:p>
    <w:tbl>
      <w:tblPr>
        <w:tblStyle w:val="GridTable1Light1"/>
        <w:tblW w:w="0" w:type="auto"/>
        <w:jc w:val="center"/>
        <w:tblInd w:w="0" w:type="dxa"/>
        <w:tblLook w:val="04A0" w:firstRow="1" w:lastRow="0" w:firstColumn="1" w:lastColumn="0" w:noHBand="0" w:noVBand="1"/>
      </w:tblPr>
      <w:tblGrid>
        <w:gridCol w:w="5215"/>
        <w:gridCol w:w="1440"/>
      </w:tblGrid>
      <w:tr w:rsidR="0084709A" w:rsidTr="0084709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15" w:type="dxa"/>
            <w:tcBorders>
              <w:top w:val="single" w:sz="4" w:space="0" w:color="999999" w:themeColor="text1" w:themeTint="66"/>
              <w:left w:val="single" w:sz="4" w:space="0" w:color="999999" w:themeColor="text1" w:themeTint="66"/>
              <w:right w:val="single" w:sz="4" w:space="0" w:color="999999" w:themeColor="text1" w:themeTint="66"/>
            </w:tcBorders>
            <w:shd w:val="clear" w:color="auto" w:fill="D9D9D9" w:themeFill="background1" w:themeFillShade="D9"/>
            <w:hideMark/>
          </w:tcPr>
          <w:p w:rsidR="0084709A" w:rsidRDefault="0084709A">
            <w:pPr>
              <w:pStyle w:val="NoSpacing"/>
              <w:spacing w:line="256" w:lineRule="auto"/>
              <w:ind w:left="72"/>
              <w:rPr>
                <w:rFonts w:asciiTheme="minorHAnsi" w:hAnsiTheme="minorHAnsi"/>
                <w:color w:val="000000" w:themeColor="text1"/>
                <w:szCs w:val="22"/>
              </w:rPr>
            </w:pPr>
            <w:r>
              <w:rPr>
                <w:rFonts w:asciiTheme="minorHAnsi" w:hAnsiTheme="minorHAnsi"/>
                <w:color w:val="000000" w:themeColor="text1"/>
                <w:szCs w:val="22"/>
              </w:rPr>
              <w:t>New Category</w:t>
            </w:r>
          </w:p>
        </w:tc>
        <w:tc>
          <w:tcPr>
            <w:tcW w:w="1440" w:type="dxa"/>
            <w:tcBorders>
              <w:top w:val="single" w:sz="4" w:space="0" w:color="999999" w:themeColor="text1" w:themeTint="66"/>
              <w:left w:val="single" w:sz="4" w:space="0" w:color="999999" w:themeColor="text1" w:themeTint="66"/>
              <w:right w:val="single" w:sz="4" w:space="0" w:color="999999" w:themeColor="text1" w:themeTint="66"/>
            </w:tcBorders>
            <w:shd w:val="clear" w:color="auto" w:fill="D9D9D9" w:themeFill="background1" w:themeFillShade="D9"/>
            <w:hideMark/>
          </w:tcPr>
          <w:p w:rsidR="0084709A" w:rsidRDefault="0084709A">
            <w:pPr>
              <w:pStyle w:val="NoSpacing"/>
              <w:spacing w:line="256" w:lineRule="auto"/>
              <w:ind w:left="72"/>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themeColor="text1"/>
                <w:szCs w:val="22"/>
              </w:rPr>
            </w:pPr>
            <w:r>
              <w:rPr>
                <w:rFonts w:asciiTheme="minorHAnsi" w:hAnsiTheme="minorHAnsi"/>
                <w:color w:val="000000" w:themeColor="text1"/>
                <w:szCs w:val="22"/>
              </w:rPr>
              <w:t>Limit (g/l)</w:t>
            </w:r>
          </w:p>
        </w:tc>
      </w:tr>
      <w:tr w:rsidR="0084709A" w:rsidTr="0084709A">
        <w:trPr>
          <w:jc w:val="center"/>
        </w:trPr>
        <w:tc>
          <w:tcPr>
            <w:cnfStyle w:val="001000000000" w:firstRow="0" w:lastRow="0" w:firstColumn="1" w:lastColumn="0" w:oddVBand="0" w:evenVBand="0" w:oddHBand="0" w:evenHBand="0" w:firstRowFirstColumn="0" w:firstRowLastColumn="0" w:lastRowFirstColumn="0" w:lastRowLastColumn="0"/>
            <w:tcW w:w="521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84709A" w:rsidRDefault="0084709A">
            <w:pPr>
              <w:pStyle w:val="NoSpacing"/>
              <w:spacing w:line="256" w:lineRule="auto"/>
              <w:ind w:left="67"/>
              <w:rPr>
                <w:rFonts w:asciiTheme="minorHAnsi" w:hAnsiTheme="minorHAnsi"/>
                <w:b w:val="0"/>
                <w:color w:val="000000" w:themeColor="text1"/>
                <w:szCs w:val="22"/>
              </w:rPr>
            </w:pPr>
            <w:r>
              <w:rPr>
                <w:rFonts w:asciiTheme="minorHAnsi" w:hAnsiTheme="minorHAnsi"/>
                <w:b w:val="0"/>
                <w:color w:val="000000" w:themeColor="text1"/>
                <w:szCs w:val="22"/>
              </w:rPr>
              <w:t xml:space="preserve">Aluminum Roof </w:t>
            </w:r>
          </w:p>
        </w:tc>
        <w:tc>
          <w:tcPr>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84709A" w:rsidRDefault="0084709A">
            <w:pPr>
              <w:pStyle w:val="NoSpacing"/>
              <w:spacing w:line="256" w:lineRule="auto"/>
              <w:ind w:left="7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22"/>
              </w:rPr>
            </w:pPr>
            <w:r>
              <w:rPr>
                <w:rFonts w:asciiTheme="minorHAnsi" w:hAnsiTheme="minorHAnsi"/>
                <w:color w:val="000000" w:themeColor="text1"/>
                <w:szCs w:val="22"/>
              </w:rPr>
              <w:t>450</w:t>
            </w:r>
          </w:p>
        </w:tc>
      </w:tr>
      <w:tr w:rsidR="0084709A" w:rsidTr="0084709A">
        <w:trPr>
          <w:jc w:val="center"/>
        </w:trPr>
        <w:tc>
          <w:tcPr>
            <w:cnfStyle w:val="001000000000" w:firstRow="0" w:lastRow="0" w:firstColumn="1" w:lastColumn="0" w:oddVBand="0" w:evenVBand="0" w:oddHBand="0" w:evenHBand="0" w:firstRowFirstColumn="0" w:firstRowLastColumn="0" w:lastRowFirstColumn="0" w:lastRowLastColumn="0"/>
            <w:tcW w:w="521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84709A" w:rsidRDefault="0084709A">
            <w:pPr>
              <w:pStyle w:val="NoSpacing"/>
              <w:spacing w:line="256" w:lineRule="auto"/>
              <w:ind w:left="67"/>
              <w:rPr>
                <w:rFonts w:asciiTheme="minorHAnsi" w:hAnsiTheme="minorHAnsi"/>
                <w:b w:val="0"/>
                <w:color w:val="000000" w:themeColor="text1"/>
                <w:szCs w:val="22"/>
              </w:rPr>
            </w:pPr>
            <w:r>
              <w:rPr>
                <w:rFonts w:asciiTheme="minorHAnsi" w:hAnsiTheme="minorHAnsi"/>
                <w:b w:val="0"/>
                <w:color w:val="000000" w:themeColor="text1"/>
                <w:szCs w:val="22"/>
              </w:rPr>
              <w:t xml:space="preserve">Basement Specialty Coatings </w:t>
            </w:r>
          </w:p>
        </w:tc>
        <w:tc>
          <w:tcPr>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84709A" w:rsidRDefault="0084709A">
            <w:pPr>
              <w:pStyle w:val="NoSpacing"/>
              <w:spacing w:line="256" w:lineRule="auto"/>
              <w:ind w:left="7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22"/>
              </w:rPr>
            </w:pPr>
            <w:r>
              <w:rPr>
                <w:rFonts w:asciiTheme="minorHAnsi" w:hAnsiTheme="minorHAnsi"/>
                <w:color w:val="000000" w:themeColor="text1"/>
                <w:szCs w:val="22"/>
              </w:rPr>
              <w:t>400</w:t>
            </w:r>
          </w:p>
        </w:tc>
      </w:tr>
      <w:tr w:rsidR="0084709A" w:rsidTr="0084709A">
        <w:trPr>
          <w:jc w:val="center"/>
        </w:trPr>
        <w:tc>
          <w:tcPr>
            <w:cnfStyle w:val="001000000000" w:firstRow="0" w:lastRow="0" w:firstColumn="1" w:lastColumn="0" w:oddVBand="0" w:evenVBand="0" w:oddHBand="0" w:evenHBand="0" w:firstRowFirstColumn="0" w:firstRowLastColumn="0" w:lastRowFirstColumn="0" w:lastRowLastColumn="0"/>
            <w:tcW w:w="521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84709A" w:rsidRDefault="0084709A">
            <w:pPr>
              <w:pStyle w:val="NoSpacing"/>
              <w:spacing w:line="256" w:lineRule="auto"/>
              <w:ind w:left="67"/>
              <w:rPr>
                <w:rFonts w:asciiTheme="minorHAnsi" w:hAnsiTheme="minorHAnsi"/>
                <w:b w:val="0"/>
                <w:color w:val="000000" w:themeColor="text1"/>
                <w:szCs w:val="22"/>
              </w:rPr>
            </w:pPr>
            <w:r>
              <w:rPr>
                <w:rFonts w:asciiTheme="minorHAnsi" w:hAnsiTheme="minorHAnsi"/>
                <w:b w:val="0"/>
                <w:color w:val="000000" w:themeColor="text1"/>
                <w:szCs w:val="22"/>
              </w:rPr>
              <w:t xml:space="preserve">Concrete/Masonry Sealer </w:t>
            </w:r>
          </w:p>
        </w:tc>
        <w:tc>
          <w:tcPr>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84709A" w:rsidRDefault="0084709A">
            <w:pPr>
              <w:pStyle w:val="NoSpacing"/>
              <w:spacing w:line="256" w:lineRule="auto"/>
              <w:ind w:left="7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22"/>
              </w:rPr>
            </w:pPr>
            <w:r>
              <w:rPr>
                <w:rFonts w:asciiTheme="minorHAnsi" w:hAnsiTheme="minorHAnsi"/>
                <w:color w:val="000000" w:themeColor="text1"/>
                <w:szCs w:val="22"/>
              </w:rPr>
              <w:t>100</w:t>
            </w:r>
          </w:p>
        </w:tc>
      </w:tr>
      <w:tr w:rsidR="0084709A" w:rsidTr="0084709A">
        <w:trPr>
          <w:jc w:val="center"/>
        </w:trPr>
        <w:tc>
          <w:tcPr>
            <w:cnfStyle w:val="001000000000" w:firstRow="0" w:lastRow="0" w:firstColumn="1" w:lastColumn="0" w:oddVBand="0" w:evenVBand="0" w:oddHBand="0" w:evenHBand="0" w:firstRowFirstColumn="0" w:firstRowLastColumn="0" w:lastRowFirstColumn="0" w:lastRowLastColumn="0"/>
            <w:tcW w:w="521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84709A" w:rsidRDefault="0084709A">
            <w:pPr>
              <w:pStyle w:val="NoSpacing"/>
              <w:spacing w:line="256" w:lineRule="auto"/>
              <w:ind w:left="67"/>
              <w:rPr>
                <w:rFonts w:asciiTheme="minorHAnsi" w:hAnsiTheme="minorHAnsi"/>
                <w:b w:val="0"/>
                <w:color w:val="000000" w:themeColor="text1"/>
                <w:szCs w:val="22"/>
              </w:rPr>
            </w:pPr>
            <w:r>
              <w:rPr>
                <w:rFonts w:asciiTheme="minorHAnsi" w:hAnsiTheme="minorHAnsi"/>
                <w:b w:val="0"/>
                <w:color w:val="000000" w:themeColor="text1"/>
                <w:szCs w:val="22"/>
              </w:rPr>
              <w:t>Conjugated Oil Varnish</w:t>
            </w:r>
          </w:p>
        </w:tc>
        <w:tc>
          <w:tcPr>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84709A" w:rsidRDefault="0084709A">
            <w:pPr>
              <w:pStyle w:val="NoSpacing"/>
              <w:spacing w:line="256" w:lineRule="auto"/>
              <w:ind w:left="7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22"/>
              </w:rPr>
            </w:pPr>
            <w:r>
              <w:rPr>
                <w:rFonts w:asciiTheme="minorHAnsi" w:hAnsiTheme="minorHAnsi"/>
                <w:color w:val="000000" w:themeColor="text1"/>
                <w:szCs w:val="22"/>
              </w:rPr>
              <w:t>450</w:t>
            </w:r>
          </w:p>
        </w:tc>
      </w:tr>
      <w:tr w:rsidR="0084709A" w:rsidTr="0084709A">
        <w:trPr>
          <w:jc w:val="center"/>
        </w:trPr>
        <w:tc>
          <w:tcPr>
            <w:cnfStyle w:val="001000000000" w:firstRow="0" w:lastRow="0" w:firstColumn="1" w:lastColumn="0" w:oddVBand="0" w:evenVBand="0" w:oddHBand="0" w:evenHBand="0" w:firstRowFirstColumn="0" w:firstRowLastColumn="0" w:lastRowFirstColumn="0" w:lastRowLastColumn="0"/>
            <w:tcW w:w="521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84709A" w:rsidRDefault="0084709A">
            <w:pPr>
              <w:pStyle w:val="NoSpacing"/>
              <w:spacing w:line="256" w:lineRule="auto"/>
              <w:ind w:left="67"/>
              <w:rPr>
                <w:rFonts w:asciiTheme="minorHAnsi" w:hAnsiTheme="minorHAnsi"/>
                <w:b w:val="0"/>
                <w:color w:val="000000" w:themeColor="text1"/>
                <w:szCs w:val="22"/>
              </w:rPr>
            </w:pPr>
            <w:r>
              <w:rPr>
                <w:rFonts w:asciiTheme="minorHAnsi" w:hAnsiTheme="minorHAnsi"/>
                <w:b w:val="0"/>
                <w:color w:val="000000" w:themeColor="text1"/>
                <w:szCs w:val="22"/>
              </w:rPr>
              <w:t xml:space="preserve">Driveway Sealer </w:t>
            </w:r>
          </w:p>
        </w:tc>
        <w:tc>
          <w:tcPr>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84709A" w:rsidRDefault="0084709A">
            <w:pPr>
              <w:pStyle w:val="NoSpacing"/>
              <w:spacing w:line="256" w:lineRule="auto"/>
              <w:ind w:left="7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22"/>
              </w:rPr>
            </w:pPr>
            <w:r>
              <w:rPr>
                <w:rFonts w:asciiTheme="minorHAnsi" w:hAnsiTheme="minorHAnsi"/>
                <w:color w:val="000000" w:themeColor="text1"/>
                <w:szCs w:val="22"/>
              </w:rPr>
              <w:t>50</w:t>
            </w:r>
          </w:p>
        </w:tc>
      </w:tr>
      <w:tr w:rsidR="0084709A" w:rsidTr="0084709A">
        <w:trPr>
          <w:jc w:val="center"/>
        </w:trPr>
        <w:tc>
          <w:tcPr>
            <w:cnfStyle w:val="001000000000" w:firstRow="0" w:lastRow="0" w:firstColumn="1" w:lastColumn="0" w:oddVBand="0" w:evenVBand="0" w:oddHBand="0" w:evenHBand="0" w:firstRowFirstColumn="0" w:firstRowLastColumn="0" w:lastRowFirstColumn="0" w:lastRowLastColumn="0"/>
            <w:tcW w:w="521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84709A" w:rsidRDefault="0084709A">
            <w:pPr>
              <w:pStyle w:val="NoSpacing"/>
              <w:spacing w:line="256" w:lineRule="auto"/>
              <w:ind w:left="67"/>
              <w:rPr>
                <w:rFonts w:asciiTheme="minorHAnsi" w:hAnsiTheme="minorHAnsi"/>
                <w:b w:val="0"/>
                <w:color w:val="000000" w:themeColor="text1"/>
                <w:szCs w:val="22"/>
              </w:rPr>
            </w:pPr>
            <w:r>
              <w:rPr>
                <w:rFonts w:asciiTheme="minorHAnsi" w:hAnsiTheme="minorHAnsi"/>
                <w:b w:val="0"/>
                <w:color w:val="000000" w:themeColor="text1"/>
                <w:szCs w:val="22"/>
              </w:rPr>
              <w:t xml:space="preserve">Reactive Penetrating Sealer </w:t>
            </w:r>
          </w:p>
        </w:tc>
        <w:tc>
          <w:tcPr>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84709A" w:rsidRDefault="0084709A">
            <w:pPr>
              <w:pStyle w:val="NoSpacing"/>
              <w:spacing w:line="256" w:lineRule="auto"/>
              <w:ind w:left="7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22"/>
              </w:rPr>
            </w:pPr>
            <w:r>
              <w:rPr>
                <w:rFonts w:asciiTheme="minorHAnsi" w:hAnsiTheme="minorHAnsi"/>
                <w:color w:val="000000" w:themeColor="text1"/>
                <w:szCs w:val="22"/>
              </w:rPr>
              <w:t>350</w:t>
            </w:r>
          </w:p>
        </w:tc>
      </w:tr>
      <w:tr w:rsidR="0084709A" w:rsidTr="0084709A">
        <w:trPr>
          <w:jc w:val="center"/>
        </w:trPr>
        <w:tc>
          <w:tcPr>
            <w:cnfStyle w:val="001000000000" w:firstRow="0" w:lastRow="0" w:firstColumn="1" w:lastColumn="0" w:oddVBand="0" w:evenVBand="0" w:oddHBand="0" w:evenHBand="0" w:firstRowFirstColumn="0" w:firstRowLastColumn="0" w:lastRowFirstColumn="0" w:lastRowLastColumn="0"/>
            <w:tcW w:w="521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84709A" w:rsidRDefault="0084709A">
            <w:pPr>
              <w:pStyle w:val="NoSpacing"/>
              <w:spacing w:line="256" w:lineRule="auto"/>
              <w:ind w:left="67"/>
              <w:rPr>
                <w:rFonts w:asciiTheme="minorHAnsi" w:hAnsiTheme="minorHAnsi"/>
                <w:b w:val="0"/>
                <w:color w:val="000000" w:themeColor="text1"/>
                <w:szCs w:val="22"/>
              </w:rPr>
            </w:pPr>
            <w:r>
              <w:rPr>
                <w:rFonts w:asciiTheme="minorHAnsi" w:hAnsiTheme="minorHAnsi"/>
                <w:b w:val="0"/>
                <w:color w:val="000000" w:themeColor="text1"/>
                <w:szCs w:val="22"/>
              </w:rPr>
              <w:t xml:space="preserve">Reactive Penetrating Carbonate Stone Sealer </w:t>
            </w:r>
          </w:p>
        </w:tc>
        <w:tc>
          <w:tcPr>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84709A" w:rsidRDefault="0084709A">
            <w:pPr>
              <w:pStyle w:val="NoSpacing"/>
              <w:spacing w:line="256" w:lineRule="auto"/>
              <w:ind w:left="7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22"/>
              </w:rPr>
            </w:pPr>
            <w:r>
              <w:rPr>
                <w:rFonts w:asciiTheme="minorHAnsi" w:hAnsiTheme="minorHAnsi"/>
                <w:color w:val="000000" w:themeColor="text1"/>
                <w:szCs w:val="22"/>
              </w:rPr>
              <w:t>500</w:t>
            </w:r>
          </w:p>
        </w:tc>
      </w:tr>
      <w:tr w:rsidR="0084709A" w:rsidTr="0084709A">
        <w:trPr>
          <w:jc w:val="center"/>
        </w:trPr>
        <w:tc>
          <w:tcPr>
            <w:cnfStyle w:val="001000000000" w:firstRow="0" w:lastRow="0" w:firstColumn="1" w:lastColumn="0" w:oddVBand="0" w:evenVBand="0" w:oddHBand="0" w:evenHBand="0" w:firstRowFirstColumn="0" w:firstRowLastColumn="0" w:lastRowFirstColumn="0" w:lastRowLastColumn="0"/>
            <w:tcW w:w="521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84709A" w:rsidRDefault="0084709A">
            <w:pPr>
              <w:pStyle w:val="NoSpacing"/>
              <w:spacing w:line="256" w:lineRule="auto"/>
              <w:ind w:left="67"/>
              <w:rPr>
                <w:rFonts w:asciiTheme="minorHAnsi" w:hAnsiTheme="minorHAnsi"/>
                <w:b w:val="0"/>
                <w:color w:val="000000" w:themeColor="text1"/>
                <w:szCs w:val="22"/>
              </w:rPr>
            </w:pPr>
            <w:r>
              <w:rPr>
                <w:rFonts w:asciiTheme="minorHAnsi" w:hAnsiTheme="minorHAnsi"/>
                <w:b w:val="0"/>
                <w:color w:val="000000" w:themeColor="text1"/>
                <w:szCs w:val="22"/>
              </w:rPr>
              <w:t xml:space="preserve">Stone Consolidants </w:t>
            </w:r>
          </w:p>
        </w:tc>
        <w:tc>
          <w:tcPr>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84709A" w:rsidRDefault="0084709A">
            <w:pPr>
              <w:pStyle w:val="NoSpacing"/>
              <w:spacing w:line="256" w:lineRule="auto"/>
              <w:ind w:left="7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22"/>
              </w:rPr>
            </w:pPr>
            <w:r>
              <w:rPr>
                <w:rFonts w:asciiTheme="minorHAnsi" w:hAnsiTheme="minorHAnsi"/>
                <w:color w:val="000000" w:themeColor="text1"/>
                <w:szCs w:val="22"/>
              </w:rPr>
              <w:t>450</w:t>
            </w:r>
          </w:p>
        </w:tc>
      </w:tr>
      <w:tr w:rsidR="0084709A" w:rsidTr="0084709A">
        <w:trPr>
          <w:jc w:val="center"/>
        </w:trPr>
        <w:tc>
          <w:tcPr>
            <w:cnfStyle w:val="001000000000" w:firstRow="0" w:lastRow="0" w:firstColumn="1" w:lastColumn="0" w:oddVBand="0" w:evenVBand="0" w:oddHBand="0" w:evenHBand="0" w:firstRowFirstColumn="0" w:firstRowLastColumn="0" w:lastRowFirstColumn="0" w:lastRowLastColumn="0"/>
            <w:tcW w:w="521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84709A" w:rsidRDefault="0084709A">
            <w:pPr>
              <w:pStyle w:val="NoSpacing"/>
              <w:spacing w:line="256" w:lineRule="auto"/>
              <w:ind w:left="67"/>
              <w:rPr>
                <w:rFonts w:asciiTheme="minorHAnsi" w:hAnsiTheme="minorHAnsi"/>
                <w:b w:val="0"/>
                <w:color w:val="000000" w:themeColor="text1"/>
                <w:szCs w:val="22"/>
              </w:rPr>
            </w:pPr>
            <w:r>
              <w:rPr>
                <w:rFonts w:asciiTheme="minorHAnsi" w:hAnsiTheme="minorHAnsi"/>
                <w:b w:val="0"/>
                <w:color w:val="000000" w:themeColor="text1"/>
                <w:szCs w:val="22"/>
              </w:rPr>
              <w:t xml:space="preserve">Tub and Tile Refinish </w:t>
            </w:r>
          </w:p>
        </w:tc>
        <w:tc>
          <w:tcPr>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84709A" w:rsidRDefault="0084709A">
            <w:pPr>
              <w:pStyle w:val="NoSpacing"/>
              <w:spacing w:line="256" w:lineRule="auto"/>
              <w:ind w:left="7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22"/>
              </w:rPr>
            </w:pPr>
            <w:r>
              <w:rPr>
                <w:rFonts w:asciiTheme="minorHAnsi" w:hAnsiTheme="minorHAnsi"/>
                <w:color w:val="000000" w:themeColor="text1"/>
                <w:szCs w:val="22"/>
              </w:rPr>
              <w:t>420</w:t>
            </w:r>
          </w:p>
        </w:tc>
      </w:tr>
      <w:tr w:rsidR="0084709A" w:rsidTr="0084709A">
        <w:trPr>
          <w:jc w:val="center"/>
        </w:trPr>
        <w:tc>
          <w:tcPr>
            <w:cnfStyle w:val="001000000000" w:firstRow="0" w:lastRow="0" w:firstColumn="1" w:lastColumn="0" w:oddVBand="0" w:evenVBand="0" w:oddHBand="0" w:evenHBand="0" w:firstRowFirstColumn="0" w:firstRowLastColumn="0" w:lastRowFirstColumn="0" w:lastRowLastColumn="0"/>
            <w:tcW w:w="521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84709A" w:rsidRDefault="0084709A">
            <w:pPr>
              <w:pStyle w:val="NoSpacing"/>
              <w:spacing w:line="256" w:lineRule="auto"/>
              <w:ind w:left="67"/>
              <w:rPr>
                <w:rFonts w:asciiTheme="minorHAnsi" w:hAnsiTheme="minorHAnsi"/>
                <w:b w:val="0"/>
                <w:color w:val="000000" w:themeColor="text1"/>
                <w:szCs w:val="22"/>
              </w:rPr>
            </w:pPr>
            <w:r>
              <w:rPr>
                <w:rFonts w:asciiTheme="minorHAnsi" w:hAnsiTheme="minorHAnsi"/>
                <w:b w:val="0"/>
                <w:color w:val="000000" w:themeColor="text1"/>
                <w:szCs w:val="22"/>
              </w:rPr>
              <w:t xml:space="preserve">Waterproofing Membranes </w:t>
            </w:r>
          </w:p>
        </w:tc>
        <w:tc>
          <w:tcPr>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84709A" w:rsidRDefault="0084709A">
            <w:pPr>
              <w:pStyle w:val="NoSpacing"/>
              <w:spacing w:line="256" w:lineRule="auto"/>
              <w:ind w:left="7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22"/>
              </w:rPr>
            </w:pPr>
            <w:r>
              <w:rPr>
                <w:rFonts w:asciiTheme="minorHAnsi" w:hAnsiTheme="minorHAnsi"/>
                <w:color w:val="000000" w:themeColor="text1"/>
                <w:szCs w:val="22"/>
              </w:rPr>
              <w:t>250</w:t>
            </w:r>
          </w:p>
        </w:tc>
      </w:tr>
      <w:tr w:rsidR="0084709A" w:rsidTr="0084709A">
        <w:trPr>
          <w:jc w:val="center"/>
        </w:trPr>
        <w:tc>
          <w:tcPr>
            <w:cnfStyle w:val="001000000000" w:firstRow="0" w:lastRow="0" w:firstColumn="1" w:lastColumn="0" w:oddVBand="0" w:evenVBand="0" w:oddHBand="0" w:evenHBand="0" w:firstRowFirstColumn="0" w:firstRowLastColumn="0" w:lastRowFirstColumn="0" w:lastRowLastColumn="0"/>
            <w:tcW w:w="521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84709A" w:rsidRDefault="0084709A">
            <w:pPr>
              <w:pStyle w:val="NoSpacing"/>
              <w:spacing w:line="256" w:lineRule="auto"/>
              <w:ind w:left="67"/>
              <w:rPr>
                <w:rFonts w:asciiTheme="minorHAnsi" w:hAnsiTheme="minorHAnsi"/>
                <w:b w:val="0"/>
                <w:color w:val="000000" w:themeColor="text1"/>
                <w:szCs w:val="22"/>
              </w:rPr>
            </w:pPr>
            <w:r>
              <w:rPr>
                <w:rFonts w:asciiTheme="minorHAnsi" w:hAnsiTheme="minorHAnsi"/>
                <w:b w:val="0"/>
                <w:color w:val="000000" w:themeColor="text1"/>
                <w:szCs w:val="22"/>
              </w:rPr>
              <w:t>Wood Coatings</w:t>
            </w:r>
          </w:p>
        </w:tc>
        <w:tc>
          <w:tcPr>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84709A" w:rsidRDefault="0084709A">
            <w:pPr>
              <w:pStyle w:val="NoSpacing"/>
              <w:spacing w:line="256" w:lineRule="auto"/>
              <w:ind w:left="7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22"/>
              </w:rPr>
            </w:pPr>
            <w:r>
              <w:rPr>
                <w:rFonts w:asciiTheme="minorHAnsi" w:hAnsiTheme="minorHAnsi"/>
                <w:color w:val="000000" w:themeColor="text1"/>
                <w:szCs w:val="22"/>
              </w:rPr>
              <w:t>275</w:t>
            </w:r>
          </w:p>
        </w:tc>
      </w:tr>
      <w:tr w:rsidR="0084709A" w:rsidTr="0084709A">
        <w:trPr>
          <w:jc w:val="center"/>
        </w:trPr>
        <w:tc>
          <w:tcPr>
            <w:cnfStyle w:val="001000000000" w:firstRow="0" w:lastRow="0" w:firstColumn="1" w:lastColumn="0" w:oddVBand="0" w:evenVBand="0" w:oddHBand="0" w:evenHBand="0" w:firstRowFirstColumn="0" w:firstRowLastColumn="0" w:lastRowFirstColumn="0" w:lastRowLastColumn="0"/>
            <w:tcW w:w="521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84709A" w:rsidRDefault="0084709A">
            <w:pPr>
              <w:pStyle w:val="NoSpacing"/>
              <w:spacing w:line="256" w:lineRule="auto"/>
              <w:ind w:left="67"/>
              <w:rPr>
                <w:rFonts w:asciiTheme="minorHAnsi" w:hAnsiTheme="minorHAnsi"/>
                <w:b w:val="0"/>
                <w:color w:val="000000" w:themeColor="text1"/>
                <w:szCs w:val="22"/>
              </w:rPr>
            </w:pPr>
            <w:r>
              <w:rPr>
                <w:rFonts w:asciiTheme="minorHAnsi" w:hAnsiTheme="minorHAnsi"/>
                <w:b w:val="0"/>
                <w:color w:val="000000" w:themeColor="text1"/>
                <w:szCs w:val="22"/>
              </w:rPr>
              <w:t>Zinc-Rich Primer</w:t>
            </w:r>
          </w:p>
        </w:tc>
        <w:tc>
          <w:tcPr>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84709A" w:rsidRDefault="0084709A">
            <w:pPr>
              <w:pStyle w:val="NoSpacing"/>
              <w:spacing w:line="256" w:lineRule="auto"/>
              <w:ind w:left="7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22"/>
              </w:rPr>
            </w:pPr>
            <w:r>
              <w:rPr>
                <w:rFonts w:asciiTheme="minorHAnsi" w:hAnsiTheme="minorHAnsi"/>
                <w:color w:val="000000" w:themeColor="text1"/>
                <w:szCs w:val="22"/>
              </w:rPr>
              <w:t>340</w:t>
            </w:r>
          </w:p>
        </w:tc>
      </w:tr>
    </w:tbl>
    <w:p w:rsidR="0084709A" w:rsidRDefault="0084709A" w:rsidP="0084709A">
      <w:pPr>
        <w:pStyle w:val="NoSpacing"/>
        <w:spacing w:before="200" w:after="120"/>
        <w:ind w:left="360"/>
        <w:rPr>
          <w:rFonts w:asciiTheme="minorHAnsi" w:hAnsiTheme="minorHAnsi"/>
          <w:u w:val="single"/>
        </w:rPr>
      </w:pPr>
      <w:r>
        <w:rPr>
          <w:rFonts w:asciiTheme="minorHAnsi" w:hAnsiTheme="minorHAnsi"/>
          <w:u w:val="single"/>
        </w:rPr>
        <w:t>Lower VOC limits on 12 coating categories</w:t>
      </w:r>
    </w:p>
    <w:p w:rsidR="0084709A" w:rsidRDefault="0084709A" w:rsidP="0084709A">
      <w:pPr>
        <w:pStyle w:val="NoSpacing"/>
        <w:spacing w:after="200"/>
        <w:ind w:left="360"/>
        <w:rPr>
          <w:rFonts w:asciiTheme="minorHAnsi" w:hAnsiTheme="minorHAnsi"/>
        </w:rPr>
      </w:pPr>
      <w:r>
        <w:rPr>
          <w:rFonts w:asciiTheme="minorHAnsi" w:hAnsiTheme="minorHAnsi"/>
        </w:rPr>
        <w:t xml:space="preserve">The proposed categories for lowered VOC limits are:  </w:t>
      </w:r>
    </w:p>
    <w:p w:rsidR="00DA6CEC" w:rsidRPr="00DA6CEC" w:rsidRDefault="00DA6CEC" w:rsidP="00DA6CEC">
      <w:pPr>
        <w:pStyle w:val="Caption"/>
        <w:keepNext/>
        <w:spacing w:before="120" w:after="120"/>
        <w:rPr>
          <w:rFonts w:asciiTheme="minorHAnsi" w:hAnsiTheme="minorHAnsi"/>
          <w:sz w:val="22"/>
          <w:szCs w:val="22"/>
        </w:rPr>
      </w:pPr>
      <w:bookmarkStart w:id="148" w:name="_Toc461106799"/>
      <w:r w:rsidRPr="00DA6CEC">
        <w:rPr>
          <w:rFonts w:asciiTheme="minorHAnsi" w:hAnsiTheme="minorHAnsi"/>
          <w:sz w:val="22"/>
          <w:szCs w:val="22"/>
        </w:rPr>
        <w:t>Table 2-3</w:t>
      </w:r>
      <w:r w:rsidR="00CA472B">
        <w:rPr>
          <w:rFonts w:asciiTheme="minorHAnsi" w:hAnsiTheme="minorHAnsi"/>
          <w:sz w:val="22"/>
          <w:szCs w:val="22"/>
        </w:rPr>
        <w:tab/>
      </w:r>
      <w:r w:rsidR="00E041E3">
        <w:rPr>
          <w:rFonts w:asciiTheme="minorHAnsi" w:hAnsiTheme="minorHAnsi"/>
          <w:sz w:val="22"/>
          <w:szCs w:val="22"/>
        </w:rPr>
        <w:t>P</w:t>
      </w:r>
      <w:r w:rsidRPr="00DA6CEC">
        <w:rPr>
          <w:rFonts w:asciiTheme="minorHAnsi" w:hAnsiTheme="minorHAnsi"/>
          <w:sz w:val="22"/>
          <w:szCs w:val="22"/>
        </w:rPr>
        <w:t>roposed categories for lowered VOC limits</w:t>
      </w:r>
      <w:bookmarkEnd w:id="148"/>
    </w:p>
    <w:tbl>
      <w:tblPr>
        <w:tblStyle w:val="GridTable1Light1"/>
        <w:tblW w:w="0" w:type="auto"/>
        <w:jc w:val="center"/>
        <w:tblInd w:w="0" w:type="dxa"/>
        <w:tblLook w:val="04A0" w:firstRow="1" w:lastRow="0" w:firstColumn="1" w:lastColumn="0" w:noHBand="0" w:noVBand="1"/>
      </w:tblPr>
      <w:tblGrid>
        <w:gridCol w:w="4945"/>
        <w:gridCol w:w="2700"/>
      </w:tblGrid>
      <w:tr w:rsidR="0084709A" w:rsidTr="0084709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45" w:type="dxa"/>
            <w:tcBorders>
              <w:top w:val="single" w:sz="4" w:space="0" w:color="999999" w:themeColor="text1" w:themeTint="66"/>
              <w:left w:val="single" w:sz="4" w:space="0" w:color="999999" w:themeColor="text1" w:themeTint="66"/>
              <w:right w:val="single" w:sz="4" w:space="0" w:color="999999" w:themeColor="text1" w:themeTint="66"/>
            </w:tcBorders>
            <w:hideMark/>
          </w:tcPr>
          <w:p w:rsidR="0084709A" w:rsidRDefault="0084709A">
            <w:pPr>
              <w:pStyle w:val="NoSpacing"/>
              <w:spacing w:line="256" w:lineRule="auto"/>
              <w:ind w:left="360"/>
              <w:rPr>
                <w:rFonts w:asciiTheme="minorHAnsi" w:hAnsiTheme="minorHAnsi"/>
                <w:szCs w:val="22"/>
              </w:rPr>
            </w:pPr>
            <w:r>
              <w:rPr>
                <w:rFonts w:asciiTheme="minorHAnsi" w:hAnsiTheme="minorHAnsi"/>
                <w:szCs w:val="22"/>
              </w:rPr>
              <w:t>Category</w:t>
            </w:r>
          </w:p>
        </w:tc>
        <w:tc>
          <w:tcPr>
            <w:tcW w:w="2700" w:type="dxa"/>
            <w:tcBorders>
              <w:top w:val="single" w:sz="4" w:space="0" w:color="999999" w:themeColor="text1" w:themeTint="66"/>
              <w:left w:val="single" w:sz="4" w:space="0" w:color="999999" w:themeColor="text1" w:themeTint="66"/>
              <w:right w:val="single" w:sz="4" w:space="0" w:color="999999" w:themeColor="text1" w:themeTint="66"/>
            </w:tcBorders>
            <w:hideMark/>
          </w:tcPr>
          <w:p w:rsidR="0084709A" w:rsidRDefault="0084709A">
            <w:pPr>
              <w:pStyle w:val="NoSpacing"/>
              <w:spacing w:line="256" w:lineRule="auto"/>
              <w:ind w:left="360"/>
              <w:cnfStyle w:val="100000000000" w:firstRow="1" w:lastRow="0" w:firstColumn="0" w:lastColumn="0" w:oddVBand="0" w:evenVBand="0" w:oddHBand="0" w:evenHBand="0" w:firstRowFirstColumn="0" w:firstRowLastColumn="0" w:lastRowFirstColumn="0" w:lastRowLastColumn="0"/>
              <w:rPr>
                <w:rFonts w:asciiTheme="minorHAnsi" w:hAnsiTheme="minorHAnsi"/>
                <w:szCs w:val="22"/>
              </w:rPr>
            </w:pPr>
            <w:r>
              <w:rPr>
                <w:rFonts w:asciiTheme="minorHAnsi" w:hAnsiTheme="minorHAnsi"/>
                <w:szCs w:val="22"/>
              </w:rPr>
              <w:t>Limit lowered (g/l)</w:t>
            </w:r>
          </w:p>
        </w:tc>
      </w:tr>
      <w:tr w:rsidR="0084709A" w:rsidTr="0084709A">
        <w:trPr>
          <w:jc w:val="center"/>
        </w:trPr>
        <w:tc>
          <w:tcPr>
            <w:cnfStyle w:val="001000000000" w:firstRow="0" w:lastRow="0" w:firstColumn="1" w:lastColumn="0" w:oddVBand="0" w:evenVBand="0" w:oddHBand="0" w:evenHBand="0" w:firstRowFirstColumn="0" w:firstRowLastColumn="0" w:lastRowFirstColumn="0" w:lastRowLastColumn="0"/>
            <w:tcW w:w="49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84709A" w:rsidRDefault="0084709A">
            <w:pPr>
              <w:pStyle w:val="NoSpacing"/>
              <w:spacing w:line="256" w:lineRule="auto"/>
              <w:ind w:left="360"/>
              <w:rPr>
                <w:rFonts w:asciiTheme="minorHAnsi" w:hAnsiTheme="minorHAnsi"/>
                <w:b w:val="0"/>
                <w:szCs w:val="22"/>
              </w:rPr>
            </w:pPr>
            <w:r>
              <w:rPr>
                <w:rFonts w:asciiTheme="minorHAnsi" w:hAnsiTheme="minorHAnsi"/>
                <w:b w:val="0"/>
                <w:szCs w:val="22"/>
              </w:rPr>
              <w:t>Bituminous Roof Coatings</w:t>
            </w:r>
          </w:p>
        </w:tc>
        <w:tc>
          <w:tcPr>
            <w:tcW w:w="27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84709A" w:rsidRDefault="0084709A">
            <w:pPr>
              <w:pStyle w:val="NoSpacing"/>
              <w:spacing w:line="256" w:lineRule="auto"/>
              <w:ind w:left="360"/>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Pr>
                <w:rFonts w:asciiTheme="minorHAnsi" w:hAnsiTheme="minorHAnsi"/>
                <w:szCs w:val="22"/>
              </w:rPr>
              <w:t>From 300 to 270</w:t>
            </w:r>
          </w:p>
        </w:tc>
      </w:tr>
      <w:tr w:rsidR="0084709A" w:rsidTr="0084709A">
        <w:trPr>
          <w:jc w:val="center"/>
        </w:trPr>
        <w:tc>
          <w:tcPr>
            <w:cnfStyle w:val="001000000000" w:firstRow="0" w:lastRow="0" w:firstColumn="1" w:lastColumn="0" w:oddVBand="0" w:evenVBand="0" w:oddHBand="0" w:evenHBand="0" w:firstRowFirstColumn="0" w:firstRowLastColumn="0" w:lastRowFirstColumn="0" w:lastRowLastColumn="0"/>
            <w:tcW w:w="49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84709A" w:rsidRDefault="0084709A">
            <w:pPr>
              <w:pStyle w:val="NoSpacing"/>
              <w:spacing w:line="256" w:lineRule="auto"/>
              <w:ind w:left="360"/>
              <w:rPr>
                <w:rFonts w:asciiTheme="minorHAnsi" w:hAnsiTheme="minorHAnsi"/>
                <w:b w:val="0"/>
                <w:szCs w:val="22"/>
              </w:rPr>
            </w:pPr>
            <w:r>
              <w:rPr>
                <w:rFonts w:asciiTheme="minorHAnsi" w:hAnsiTheme="minorHAnsi"/>
                <w:b w:val="0"/>
                <w:szCs w:val="22"/>
              </w:rPr>
              <w:t>Dry Fog Coatings</w:t>
            </w:r>
          </w:p>
        </w:tc>
        <w:tc>
          <w:tcPr>
            <w:tcW w:w="27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84709A" w:rsidRDefault="0084709A">
            <w:pPr>
              <w:pStyle w:val="NoSpacing"/>
              <w:spacing w:line="256" w:lineRule="auto"/>
              <w:ind w:left="360"/>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Pr>
                <w:rFonts w:asciiTheme="minorHAnsi" w:hAnsiTheme="minorHAnsi"/>
                <w:szCs w:val="22"/>
              </w:rPr>
              <w:t>From 400 to 150</w:t>
            </w:r>
          </w:p>
        </w:tc>
      </w:tr>
      <w:tr w:rsidR="0084709A" w:rsidTr="0084709A">
        <w:trPr>
          <w:jc w:val="center"/>
        </w:trPr>
        <w:tc>
          <w:tcPr>
            <w:cnfStyle w:val="001000000000" w:firstRow="0" w:lastRow="0" w:firstColumn="1" w:lastColumn="0" w:oddVBand="0" w:evenVBand="0" w:oddHBand="0" w:evenHBand="0" w:firstRowFirstColumn="0" w:firstRowLastColumn="0" w:lastRowFirstColumn="0" w:lastRowLastColumn="0"/>
            <w:tcW w:w="49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84709A" w:rsidRDefault="0084709A">
            <w:pPr>
              <w:pStyle w:val="NoSpacing"/>
              <w:spacing w:line="256" w:lineRule="auto"/>
              <w:ind w:left="360"/>
              <w:rPr>
                <w:rFonts w:asciiTheme="minorHAnsi" w:hAnsiTheme="minorHAnsi"/>
                <w:b w:val="0"/>
                <w:szCs w:val="22"/>
              </w:rPr>
            </w:pPr>
            <w:r>
              <w:rPr>
                <w:rFonts w:asciiTheme="minorHAnsi" w:hAnsiTheme="minorHAnsi"/>
                <w:b w:val="0"/>
                <w:szCs w:val="22"/>
              </w:rPr>
              <w:t>Flat Coatings</w:t>
            </w:r>
          </w:p>
        </w:tc>
        <w:tc>
          <w:tcPr>
            <w:tcW w:w="27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84709A" w:rsidRDefault="0084709A">
            <w:pPr>
              <w:pStyle w:val="NoSpacing"/>
              <w:spacing w:line="256" w:lineRule="auto"/>
              <w:ind w:left="360"/>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Pr>
                <w:rFonts w:asciiTheme="minorHAnsi" w:hAnsiTheme="minorHAnsi"/>
                <w:szCs w:val="22"/>
              </w:rPr>
              <w:t>From 100 to 50</w:t>
            </w:r>
          </w:p>
        </w:tc>
      </w:tr>
      <w:tr w:rsidR="0084709A" w:rsidTr="0084709A">
        <w:trPr>
          <w:jc w:val="center"/>
        </w:trPr>
        <w:tc>
          <w:tcPr>
            <w:cnfStyle w:val="001000000000" w:firstRow="0" w:lastRow="0" w:firstColumn="1" w:lastColumn="0" w:oddVBand="0" w:evenVBand="0" w:oddHBand="0" w:evenHBand="0" w:firstRowFirstColumn="0" w:firstRowLastColumn="0" w:lastRowFirstColumn="0" w:lastRowLastColumn="0"/>
            <w:tcW w:w="49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84709A" w:rsidRDefault="0084709A">
            <w:pPr>
              <w:pStyle w:val="NoSpacing"/>
              <w:spacing w:line="256" w:lineRule="auto"/>
              <w:ind w:left="360"/>
              <w:rPr>
                <w:rFonts w:asciiTheme="minorHAnsi" w:hAnsiTheme="minorHAnsi"/>
                <w:b w:val="0"/>
                <w:szCs w:val="22"/>
              </w:rPr>
            </w:pPr>
            <w:r>
              <w:rPr>
                <w:rFonts w:asciiTheme="minorHAnsi" w:hAnsiTheme="minorHAnsi"/>
                <w:b w:val="0"/>
                <w:szCs w:val="22"/>
              </w:rPr>
              <w:t>Floor Coatings</w:t>
            </w:r>
          </w:p>
        </w:tc>
        <w:tc>
          <w:tcPr>
            <w:tcW w:w="27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84709A" w:rsidRDefault="0084709A">
            <w:pPr>
              <w:pStyle w:val="NoSpacing"/>
              <w:spacing w:line="256" w:lineRule="auto"/>
              <w:ind w:left="360"/>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Pr>
                <w:rFonts w:asciiTheme="minorHAnsi" w:hAnsiTheme="minorHAnsi"/>
                <w:szCs w:val="22"/>
              </w:rPr>
              <w:t>From 250 to 100</w:t>
            </w:r>
          </w:p>
        </w:tc>
      </w:tr>
      <w:tr w:rsidR="0084709A" w:rsidTr="0084709A">
        <w:trPr>
          <w:jc w:val="center"/>
        </w:trPr>
        <w:tc>
          <w:tcPr>
            <w:cnfStyle w:val="001000000000" w:firstRow="0" w:lastRow="0" w:firstColumn="1" w:lastColumn="0" w:oddVBand="0" w:evenVBand="0" w:oddHBand="0" w:evenHBand="0" w:firstRowFirstColumn="0" w:firstRowLastColumn="0" w:lastRowFirstColumn="0" w:lastRowLastColumn="0"/>
            <w:tcW w:w="49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84709A" w:rsidRDefault="0084709A">
            <w:pPr>
              <w:pStyle w:val="NoSpacing"/>
              <w:spacing w:line="256" w:lineRule="auto"/>
              <w:ind w:left="360"/>
              <w:rPr>
                <w:rFonts w:asciiTheme="minorHAnsi" w:hAnsiTheme="minorHAnsi"/>
                <w:b w:val="0"/>
                <w:szCs w:val="22"/>
              </w:rPr>
            </w:pPr>
            <w:r>
              <w:rPr>
                <w:rFonts w:asciiTheme="minorHAnsi" w:hAnsiTheme="minorHAnsi"/>
                <w:b w:val="0"/>
                <w:szCs w:val="22"/>
              </w:rPr>
              <w:t>Industrial Maintenance</w:t>
            </w:r>
          </w:p>
        </w:tc>
        <w:tc>
          <w:tcPr>
            <w:tcW w:w="27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84709A" w:rsidRDefault="0084709A">
            <w:pPr>
              <w:pStyle w:val="NoSpacing"/>
              <w:spacing w:line="256" w:lineRule="auto"/>
              <w:ind w:left="360"/>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Pr>
                <w:rFonts w:asciiTheme="minorHAnsi" w:hAnsiTheme="minorHAnsi"/>
                <w:szCs w:val="22"/>
              </w:rPr>
              <w:t>From 340 to 250</w:t>
            </w:r>
          </w:p>
        </w:tc>
      </w:tr>
      <w:tr w:rsidR="0084709A" w:rsidTr="0084709A">
        <w:trPr>
          <w:jc w:val="center"/>
        </w:trPr>
        <w:tc>
          <w:tcPr>
            <w:cnfStyle w:val="001000000000" w:firstRow="0" w:lastRow="0" w:firstColumn="1" w:lastColumn="0" w:oddVBand="0" w:evenVBand="0" w:oddHBand="0" w:evenHBand="0" w:firstRowFirstColumn="0" w:firstRowLastColumn="0" w:lastRowFirstColumn="0" w:lastRowLastColumn="0"/>
            <w:tcW w:w="49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84709A" w:rsidRDefault="0084709A">
            <w:pPr>
              <w:pStyle w:val="NoSpacing"/>
              <w:spacing w:line="256" w:lineRule="auto"/>
              <w:ind w:left="360"/>
              <w:rPr>
                <w:rFonts w:asciiTheme="minorHAnsi" w:hAnsiTheme="minorHAnsi"/>
                <w:b w:val="0"/>
                <w:szCs w:val="22"/>
              </w:rPr>
            </w:pPr>
            <w:r>
              <w:rPr>
                <w:rFonts w:asciiTheme="minorHAnsi" w:hAnsiTheme="minorHAnsi"/>
                <w:b w:val="0"/>
                <w:szCs w:val="22"/>
              </w:rPr>
              <w:t>Mastic Texture Coatings</w:t>
            </w:r>
          </w:p>
        </w:tc>
        <w:tc>
          <w:tcPr>
            <w:tcW w:w="27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84709A" w:rsidRDefault="0084709A">
            <w:pPr>
              <w:pStyle w:val="NoSpacing"/>
              <w:spacing w:line="256" w:lineRule="auto"/>
              <w:ind w:left="360"/>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Pr>
                <w:rFonts w:asciiTheme="minorHAnsi" w:hAnsiTheme="minorHAnsi"/>
                <w:szCs w:val="22"/>
              </w:rPr>
              <w:t>From 300 to 100</w:t>
            </w:r>
          </w:p>
        </w:tc>
      </w:tr>
      <w:tr w:rsidR="0084709A" w:rsidTr="0084709A">
        <w:trPr>
          <w:jc w:val="center"/>
        </w:trPr>
        <w:tc>
          <w:tcPr>
            <w:cnfStyle w:val="001000000000" w:firstRow="0" w:lastRow="0" w:firstColumn="1" w:lastColumn="0" w:oddVBand="0" w:evenVBand="0" w:oddHBand="0" w:evenHBand="0" w:firstRowFirstColumn="0" w:firstRowLastColumn="0" w:lastRowFirstColumn="0" w:lastRowLastColumn="0"/>
            <w:tcW w:w="49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84709A" w:rsidRDefault="0084709A">
            <w:pPr>
              <w:pStyle w:val="NoSpacing"/>
              <w:spacing w:line="256" w:lineRule="auto"/>
              <w:ind w:left="360"/>
              <w:rPr>
                <w:rFonts w:asciiTheme="minorHAnsi" w:hAnsiTheme="minorHAnsi"/>
                <w:b w:val="0"/>
                <w:szCs w:val="22"/>
              </w:rPr>
            </w:pPr>
            <w:r>
              <w:rPr>
                <w:rFonts w:asciiTheme="minorHAnsi" w:hAnsiTheme="minorHAnsi"/>
                <w:b w:val="0"/>
                <w:szCs w:val="22"/>
              </w:rPr>
              <w:t>Nonflat Coatings</w:t>
            </w:r>
          </w:p>
        </w:tc>
        <w:tc>
          <w:tcPr>
            <w:tcW w:w="27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84709A" w:rsidRDefault="0084709A">
            <w:pPr>
              <w:pStyle w:val="NoSpacing"/>
              <w:spacing w:line="256" w:lineRule="auto"/>
              <w:ind w:left="360"/>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Pr>
                <w:rFonts w:asciiTheme="minorHAnsi" w:hAnsiTheme="minorHAnsi"/>
                <w:szCs w:val="22"/>
              </w:rPr>
              <w:t>From 150 to 100</w:t>
            </w:r>
          </w:p>
        </w:tc>
      </w:tr>
      <w:tr w:rsidR="0084709A" w:rsidTr="0084709A">
        <w:trPr>
          <w:jc w:val="center"/>
        </w:trPr>
        <w:tc>
          <w:tcPr>
            <w:cnfStyle w:val="001000000000" w:firstRow="0" w:lastRow="0" w:firstColumn="1" w:lastColumn="0" w:oddVBand="0" w:evenVBand="0" w:oddHBand="0" w:evenHBand="0" w:firstRowFirstColumn="0" w:firstRowLastColumn="0" w:lastRowFirstColumn="0" w:lastRowLastColumn="0"/>
            <w:tcW w:w="49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84709A" w:rsidRDefault="0084709A">
            <w:pPr>
              <w:pStyle w:val="NoSpacing"/>
              <w:spacing w:line="256" w:lineRule="auto"/>
              <w:ind w:left="360"/>
              <w:rPr>
                <w:rFonts w:asciiTheme="minorHAnsi" w:hAnsiTheme="minorHAnsi"/>
                <w:b w:val="0"/>
                <w:szCs w:val="22"/>
              </w:rPr>
            </w:pPr>
            <w:r>
              <w:rPr>
                <w:rFonts w:asciiTheme="minorHAnsi" w:hAnsiTheme="minorHAnsi"/>
                <w:b w:val="0"/>
                <w:szCs w:val="22"/>
              </w:rPr>
              <w:t>Nonflat-High Gloss</w:t>
            </w:r>
          </w:p>
        </w:tc>
        <w:tc>
          <w:tcPr>
            <w:tcW w:w="27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84709A" w:rsidRDefault="0084709A">
            <w:pPr>
              <w:pStyle w:val="NoSpacing"/>
              <w:spacing w:line="256" w:lineRule="auto"/>
              <w:ind w:left="360"/>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Pr>
                <w:rFonts w:asciiTheme="minorHAnsi" w:hAnsiTheme="minorHAnsi"/>
                <w:szCs w:val="22"/>
              </w:rPr>
              <w:t>From 250 to 150</w:t>
            </w:r>
          </w:p>
        </w:tc>
      </w:tr>
      <w:tr w:rsidR="0084709A" w:rsidTr="0084709A">
        <w:trPr>
          <w:jc w:val="center"/>
        </w:trPr>
        <w:tc>
          <w:tcPr>
            <w:cnfStyle w:val="001000000000" w:firstRow="0" w:lastRow="0" w:firstColumn="1" w:lastColumn="0" w:oddVBand="0" w:evenVBand="0" w:oddHBand="0" w:evenHBand="0" w:firstRowFirstColumn="0" w:firstRowLastColumn="0" w:lastRowFirstColumn="0" w:lastRowLastColumn="0"/>
            <w:tcW w:w="49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84709A" w:rsidRDefault="0084709A">
            <w:pPr>
              <w:pStyle w:val="NoSpacing"/>
              <w:spacing w:line="256" w:lineRule="auto"/>
              <w:ind w:left="360"/>
              <w:rPr>
                <w:rFonts w:asciiTheme="minorHAnsi" w:hAnsiTheme="minorHAnsi"/>
                <w:b w:val="0"/>
                <w:szCs w:val="22"/>
              </w:rPr>
            </w:pPr>
            <w:r>
              <w:rPr>
                <w:rFonts w:asciiTheme="minorHAnsi" w:hAnsiTheme="minorHAnsi"/>
                <w:b w:val="0"/>
                <w:szCs w:val="22"/>
              </w:rPr>
              <w:t>Primers, Sealers &amp; Undercoaters</w:t>
            </w:r>
          </w:p>
        </w:tc>
        <w:tc>
          <w:tcPr>
            <w:tcW w:w="27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84709A" w:rsidRDefault="0084709A">
            <w:pPr>
              <w:pStyle w:val="NoSpacing"/>
              <w:spacing w:line="256" w:lineRule="auto"/>
              <w:ind w:left="360"/>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Pr>
                <w:rFonts w:asciiTheme="minorHAnsi" w:hAnsiTheme="minorHAnsi"/>
                <w:szCs w:val="22"/>
              </w:rPr>
              <w:t>From 200 to 100</w:t>
            </w:r>
          </w:p>
        </w:tc>
      </w:tr>
      <w:tr w:rsidR="0084709A" w:rsidTr="0084709A">
        <w:trPr>
          <w:jc w:val="center"/>
        </w:trPr>
        <w:tc>
          <w:tcPr>
            <w:cnfStyle w:val="001000000000" w:firstRow="0" w:lastRow="0" w:firstColumn="1" w:lastColumn="0" w:oddVBand="0" w:evenVBand="0" w:oddHBand="0" w:evenHBand="0" w:firstRowFirstColumn="0" w:firstRowLastColumn="0" w:lastRowFirstColumn="0" w:lastRowLastColumn="0"/>
            <w:tcW w:w="49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84709A" w:rsidRDefault="0084709A">
            <w:pPr>
              <w:pStyle w:val="NoSpacing"/>
              <w:spacing w:line="256" w:lineRule="auto"/>
              <w:ind w:left="360"/>
              <w:rPr>
                <w:rFonts w:asciiTheme="minorHAnsi" w:hAnsiTheme="minorHAnsi"/>
                <w:b w:val="0"/>
                <w:szCs w:val="22"/>
              </w:rPr>
            </w:pPr>
            <w:r>
              <w:rPr>
                <w:rFonts w:asciiTheme="minorHAnsi" w:hAnsiTheme="minorHAnsi"/>
                <w:b w:val="0"/>
                <w:szCs w:val="22"/>
              </w:rPr>
              <w:t>Rust Preventative</w:t>
            </w:r>
          </w:p>
        </w:tc>
        <w:tc>
          <w:tcPr>
            <w:tcW w:w="27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84709A" w:rsidRDefault="0084709A">
            <w:pPr>
              <w:pStyle w:val="NoSpacing"/>
              <w:spacing w:line="256" w:lineRule="auto"/>
              <w:ind w:left="360"/>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Pr>
                <w:rFonts w:asciiTheme="minorHAnsi" w:hAnsiTheme="minorHAnsi"/>
                <w:szCs w:val="22"/>
              </w:rPr>
              <w:t>From 400 to 250</w:t>
            </w:r>
          </w:p>
        </w:tc>
      </w:tr>
      <w:tr w:rsidR="0084709A" w:rsidTr="0084709A">
        <w:trPr>
          <w:jc w:val="center"/>
        </w:trPr>
        <w:tc>
          <w:tcPr>
            <w:cnfStyle w:val="001000000000" w:firstRow="0" w:lastRow="0" w:firstColumn="1" w:lastColumn="0" w:oddVBand="0" w:evenVBand="0" w:oddHBand="0" w:evenHBand="0" w:firstRowFirstColumn="0" w:firstRowLastColumn="0" w:lastRowFirstColumn="0" w:lastRowLastColumn="0"/>
            <w:tcW w:w="49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84709A" w:rsidRDefault="0084709A">
            <w:pPr>
              <w:pStyle w:val="NoSpacing"/>
              <w:spacing w:line="256" w:lineRule="auto"/>
              <w:ind w:left="360"/>
              <w:rPr>
                <w:rFonts w:asciiTheme="minorHAnsi" w:hAnsiTheme="minorHAnsi"/>
                <w:b w:val="0"/>
                <w:szCs w:val="22"/>
              </w:rPr>
            </w:pPr>
            <w:r>
              <w:rPr>
                <w:rFonts w:asciiTheme="minorHAnsi" w:hAnsiTheme="minorHAnsi"/>
                <w:b w:val="0"/>
                <w:szCs w:val="22"/>
              </w:rPr>
              <w:t>Specialty Primers, Sealers &amp; Undercoaters</w:t>
            </w:r>
          </w:p>
        </w:tc>
        <w:tc>
          <w:tcPr>
            <w:tcW w:w="27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84709A" w:rsidRDefault="0084709A">
            <w:pPr>
              <w:pStyle w:val="NoSpacing"/>
              <w:spacing w:line="256" w:lineRule="auto"/>
              <w:ind w:left="360"/>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Pr>
                <w:rFonts w:asciiTheme="minorHAnsi" w:hAnsiTheme="minorHAnsi"/>
                <w:szCs w:val="22"/>
              </w:rPr>
              <w:t>From 350 to 100</w:t>
            </w:r>
          </w:p>
        </w:tc>
      </w:tr>
      <w:tr w:rsidR="0084709A" w:rsidTr="0084709A">
        <w:trPr>
          <w:jc w:val="center"/>
        </w:trPr>
        <w:tc>
          <w:tcPr>
            <w:cnfStyle w:val="001000000000" w:firstRow="0" w:lastRow="0" w:firstColumn="1" w:lastColumn="0" w:oddVBand="0" w:evenVBand="0" w:oddHBand="0" w:evenHBand="0" w:firstRowFirstColumn="0" w:firstRowLastColumn="0" w:lastRowFirstColumn="0" w:lastRowLastColumn="0"/>
            <w:tcW w:w="494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84709A" w:rsidRDefault="0084709A">
            <w:pPr>
              <w:pStyle w:val="NoSpacing"/>
              <w:spacing w:line="256" w:lineRule="auto"/>
              <w:ind w:left="360"/>
              <w:rPr>
                <w:rFonts w:asciiTheme="minorHAnsi" w:hAnsiTheme="minorHAnsi"/>
                <w:b w:val="0"/>
                <w:szCs w:val="22"/>
              </w:rPr>
            </w:pPr>
            <w:r>
              <w:rPr>
                <w:rFonts w:asciiTheme="minorHAnsi" w:hAnsiTheme="minorHAnsi"/>
                <w:b w:val="0"/>
                <w:szCs w:val="22"/>
              </w:rPr>
              <w:t>Traffic Marking</w:t>
            </w:r>
          </w:p>
        </w:tc>
        <w:tc>
          <w:tcPr>
            <w:tcW w:w="27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rsidR="0084709A" w:rsidRDefault="0084709A">
            <w:pPr>
              <w:pStyle w:val="NoSpacing"/>
              <w:spacing w:line="256" w:lineRule="auto"/>
              <w:ind w:left="360"/>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Pr>
                <w:rFonts w:asciiTheme="minorHAnsi" w:hAnsiTheme="minorHAnsi"/>
                <w:szCs w:val="22"/>
              </w:rPr>
              <w:t>From 150 to 100</w:t>
            </w:r>
          </w:p>
        </w:tc>
      </w:tr>
    </w:tbl>
    <w:p w:rsidR="0084709A" w:rsidRDefault="0084709A" w:rsidP="0084709A">
      <w:pPr>
        <w:pStyle w:val="NoSpacing"/>
        <w:spacing w:before="200" w:after="120"/>
        <w:ind w:left="360"/>
        <w:rPr>
          <w:rFonts w:asciiTheme="minorHAnsi" w:hAnsiTheme="minorHAnsi"/>
          <w:u w:val="single"/>
        </w:rPr>
      </w:pPr>
      <w:r>
        <w:rPr>
          <w:rFonts w:asciiTheme="minorHAnsi" w:hAnsiTheme="minorHAnsi"/>
          <w:u w:val="single"/>
        </w:rPr>
        <w:t>Add transitional language</w:t>
      </w:r>
    </w:p>
    <w:p w:rsidR="0084709A" w:rsidRDefault="0084709A" w:rsidP="0084709A">
      <w:pPr>
        <w:pStyle w:val="NoSpacing"/>
        <w:spacing w:after="200"/>
        <w:ind w:left="360"/>
        <w:jc w:val="both"/>
        <w:rPr>
          <w:rFonts w:asciiTheme="minorHAnsi" w:hAnsiTheme="minorHAnsi"/>
        </w:rPr>
      </w:pPr>
      <w:r>
        <w:rPr>
          <w:rFonts w:asciiTheme="minorHAnsi" w:hAnsiTheme="minorHAnsi"/>
        </w:rPr>
        <w:t xml:space="preserve">This model rule revises the definitions and standards sections by including transitional language to the definitions and VOC limits.  Because this model rule also proposes to include new coating categories, this language provides clarity to the definition of coating categories as well as clearly stating when one category is phased out and another one phased in.  Instead of deleting the definition of the categories that are proposed for elimination, the model rule language will keep the existing definition, with additional language clarifying the date on </w:t>
      </w:r>
      <w:r w:rsidR="0060782B">
        <w:rPr>
          <w:noProof/>
        </w:rPr>
        <mc:AlternateContent>
          <mc:Choice Requires="wps">
            <w:drawing>
              <wp:anchor distT="0" distB="0" distL="114300" distR="114300" simplePos="0" relativeHeight="251710464" behindDoc="0" locked="1" layoutInCell="1" allowOverlap="0" wp14:anchorId="37F0C09B" wp14:editId="2A19CA42">
                <wp:simplePos x="0" y="0"/>
                <wp:positionH relativeFrom="margin">
                  <wp:posOffset>2933700</wp:posOffset>
                </wp:positionH>
                <wp:positionV relativeFrom="bottomMargin">
                  <wp:posOffset>183515</wp:posOffset>
                </wp:positionV>
                <wp:extent cx="914400" cy="237490"/>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237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782B" w:rsidRDefault="0060782B" w:rsidP="0060782B">
                            <w:pPr>
                              <w:ind w:right="60"/>
                              <w:rPr>
                                <w:rFonts w:asciiTheme="minorHAnsi" w:hAnsiTheme="minorHAnsi"/>
                                <w:sz w:val="20"/>
                                <w:szCs w:val="20"/>
                              </w:rPr>
                            </w:pPr>
                            <w:hyperlink w:anchor="TOC" w:history="1">
                              <w:r>
                                <w:rPr>
                                  <w:rStyle w:val="Hyperlink"/>
                                  <w:sz w:val="20"/>
                                  <w:szCs w:val="20"/>
                                </w:rPr>
                                <w:t>Back to TOC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0C09B" id="Text Box 31" o:spid="_x0000_s1042" type="#_x0000_t202" style="position:absolute;left:0;text-align:left;margin-left:231pt;margin-top:14.45pt;width:1in;height:18.7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oedlAIAAKwFAAAOAAAAZHJzL2Uyb0RvYy54bWysVEtPGzEQvlfqf7B8L5uEAGXFBqUgqkoR&#10;oIaKs+O1iYXtcW0nu+mvZ+zdPKBcqHrZtT3fvL+Zi8vWaLIWPiiwFR0eDSgRlkOt7FNFfz3cfPlK&#10;SYjM1kyDFRXdiEAvJ58/XTSuFCNYgq6FJ2jEhrJxFV3G6MqiCHwpDAtH4IRFoQRvWMSrfypqzxq0&#10;bnQxGgxOiwZ87TxwEQK+XndCOsn2pRQ83kkZRCS6ohhbzF+fv4v0LSYXrHzyzC0V78Ng/xCFYcqi&#10;052paxYZWXn1lymjuIcAMh5xMAVIqbjIOWA2w8GbbOZL5kTOBYsT3K5M4f+Z5bfre09UXdHjISWW&#10;GezRg2gj+QYtwSesT+NCibC5Q2Bs8R37nHMNbgb8OSCkOMB0CgHRqR6t9Cb9MVOCitiCza7syQ3H&#10;x/PheDxACUfR6PhsfJ7bUuyVnQ/xuwBD0qGiHruaA2DrWYjJPSu3kOQrgFb1jdI6XxKTxJX2ZM2Q&#10;AzrmnFDjFUpb0lT09PhkkA1bSOqdZW2TGZG51LtL2XYJ5lPcaJEw2v4UEmuZ83zHN+Nc2J3/jE4o&#10;ia4+otjj91F9RLnLAzWyZ7Bxp2yUBd/19XXJ6udtyWSH7/sdurxTCWK7aDOJRrl16WkB9QYJ46Eb&#10;ueD4jcLuzViI98zjjGHDcW/EO/xIDVh96E+ULMH/ee894ZH6KKWkwZmtaPi9Yl5Qon9YHIpMJBzy&#10;fBmfnGE0xB9KFocSuzJXgJRA3mN0+ZjwUW+P0oN5xPUyTV5RxCxH3xWN2+NV7DYJricuptMMwrF2&#10;LM7s3PHtnCRuPrSPzLuewBGZfwvb6WblGx532NQgC9NVBKkyyfdV7RuAKyFzv19faecc3jNqv2Qn&#10;LwAAAP//AwBQSwMEFAAGAAgAAAAhAJi4DoDfAAAACQEAAA8AAABkcnMvZG93bnJldi54bWxMjzFP&#10;wzAQhXck/oN1SCxV6zQgqw1xKoSo1A4dCCzd3PhIIuJzZLtt+PccE2x3957efa/cTG4QFwyx96Rh&#10;uchAIDXe9tRq+HjfzlcgYjJkzeAJNXxjhE11e1OawvorveGlTq3gEIqF0dClNBZSxqZDZ+LCj0is&#10;ffrgTOI1tNIGc+VwN8g8y5R0pif+0JkRXzpsvuqz03CIx93sGHbbWR2t3CMeXvfLpPX93fT8BCLh&#10;lP7M8IvP6FAx08mfyUYxaHhUOXdJGvLVGgQbVKb4cOJBPYCsSvm/QfUDAAD//wMAUEsBAi0AFAAG&#10;AAgAAAAhALaDOJL+AAAA4QEAABMAAAAAAAAAAAAAAAAAAAAAAFtDb250ZW50X1R5cGVzXS54bWxQ&#10;SwECLQAUAAYACAAAACEAOP0h/9YAAACUAQAACwAAAAAAAAAAAAAAAAAvAQAAX3JlbHMvLnJlbHNQ&#10;SwECLQAUAAYACAAAACEAKyKHnZQCAACsBQAADgAAAAAAAAAAAAAAAAAuAgAAZHJzL2Uyb0RvYy54&#10;bWxQSwECLQAUAAYACAAAACEAmLgOgN8AAAAJAQAADwAAAAAAAAAAAAAAAADuBAAAZHJzL2Rvd25y&#10;ZXYueG1sUEsFBgAAAAAEAAQA8wAAAPoFAAAAAA==&#10;" o:allowoverlap="f" fillcolor="white [3201]" stroked="f" strokeweight=".5pt">
                <v:path arrowok="t"/>
                <v:textbox>
                  <w:txbxContent>
                    <w:p w:rsidR="0060782B" w:rsidRDefault="0060782B" w:rsidP="0060782B">
                      <w:pPr>
                        <w:ind w:right="60"/>
                        <w:rPr>
                          <w:rFonts w:asciiTheme="minorHAnsi" w:hAnsiTheme="minorHAnsi"/>
                          <w:sz w:val="20"/>
                          <w:szCs w:val="20"/>
                        </w:rPr>
                      </w:pPr>
                      <w:hyperlink w:anchor="TOC" w:history="1">
                        <w:r>
                          <w:rPr>
                            <w:rStyle w:val="Hyperlink"/>
                            <w:sz w:val="20"/>
                            <w:szCs w:val="20"/>
                          </w:rPr>
                          <w:t>Back to TOC</w:t>
                        </w:r>
                      </w:hyperlink>
                    </w:p>
                  </w:txbxContent>
                </v:textbox>
                <w10:wrap anchorx="margin" anchory="margin"/>
                <w10:anchorlock/>
              </v:shape>
            </w:pict>
          </mc:Fallback>
        </mc:AlternateContent>
      </w:r>
      <w:r>
        <w:rPr>
          <w:rFonts w:asciiTheme="minorHAnsi" w:hAnsiTheme="minorHAnsi"/>
        </w:rPr>
        <w:t xml:space="preserve">which it is proposed to be eliminated and the category that it may be replaced with.  This </w:t>
      </w:r>
      <w:r>
        <w:rPr>
          <w:rFonts w:asciiTheme="minorHAnsi" w:hAnsiTheme="minorHAnsi"/>
        </w:rPr>
        <w:lastRenderedPageBreak/>
        <w:t xml:space="preserve">type of transitional language was requested by stakeholders.  Furthermore, the proposed language will allow for a three-year sell through; while the  Model Rule states that the manufacture of certain coatings will stop on January 1, 2018, sale of the coating may continue for an additional three years. </w:t>
      </w:r>
    </w:p>
    <w:p w:rsidR="0084709A" w:rsidRDefault="0084709A" w:rsidP="0084709A">
      <w:pPr>
        <w:pStyle w:val="NoSpacing"/>
        <w:spacing w:after="120"/>
        <w:ind w:left="360"/>
        <w:jc w:val="both"/>
        <w:rPr>
          <w:rFonts w:asciiTheme="minorHAnsi" w:hAnsiTheme="minorHAnsi"/>
          <w:u w:val="single"/>
        </w:rPr>
      </w:pPr>
      <w:r>
        <w:rPr>
          <w:rFonts w:asciiTheme="minorHAnsi" w:hAnsiTheme="minorHAnsi"/>
          <w:u w:val="single"/>
        </w:rPr>
        <w:t>Update definitions and codes as necessary</w:t>
      </w:r>
    </w:p>
    <w:p w:rsidR="0084709A" w:rsidRDefault="0084709A" w:rsidP="0084709A">
      <w:pPr>
        <w:pStyle w:val="NoSpacing"/>
        <w:spacing w:after="120"/>
        <w:ind w:left="360"/>
        <w:jc w:val="both"/>
        <w:rPr>
          <w:rFonts w:asciiTheme="minorHAnsi" w:hAnsiTheme="minorHAnsi"/>
        </w:rPr>
      </w:pPr>
      <w:r>
        <w:rPr>
          <w:rFonts w:asciiTheme="minorHAnsi" w:hAnsiTheme="minorHAnsi"/>
        </w:rPr>
        <w:t>This Model Rule revises the definitions section to clarify and update specific definitions that are currently unclear.</w:t>
      </w:r>
    </w:p>
    <w:p w:rsidR="0084709A" w:rsidRDefault="0084709A" w:rsidP="0084709A">
      <w:pPr>
        <w:pStyle w:val="NoSpacing"/>
        <w:spacing w:after="120"/>
        <w:ind w:left="360"/>
        <w:jc w:val="both"/>
        <w:rPr>
          <w:rFonts w:asciiTheme="minorHAnsi" w:hAnsiTheme="minorHAnsi"/>
        </w:rPr>
      </w:pPr>
      <w:r>
        <w:rPr>
          <w:rFonts w:asciiTheme="minorHAnsi" w:hAnsiTheme="minorHAnsi"/>
        </w:rPr>
        <w:t>This Model Rule revises the default “category” provision of the rule.  When a product does not meet the definition for any of the specialty AIM coating categories listed in the definitions, the rule automatically defaults to the “flat”, “nonflat”, or “nonflat high-gloss” categories and their respective VOC content limits of 50, 100, and 150 grams per liter.  Currently a coating that does not fit one of the specialty categories but is described (wording on container, product literature etc.) as falling within one or more of the specialty categories potentially could bypass the default category provision in favor of the “most restrictive limit” provision.  The end result could be much higher VOC products in the marketplace that can’t be enforced against.  With the modifications to the default category provision the OTC intends to eliminate this confusion.</w:t>
      </w:r>
      <w:r>
        <w:rPr>
          <w:rFonts w:asciiTheme="minorHAnsi" w:hAnsiTheme="minorHAnsi"/>
          <w:b/>
          <w:noProof/>
        </w:rPr>
        <w:t xml:space="preserve"> </w:t>
      </w:r>
    </w:p>
    <w:p w:rsidR="0084709A" w:rsidRDefault="0084709A" w:rsidP="0084709A">
      <w:pPr>
        <w:pStyle w:val="NoSpacing"/>
        <w:spacing w:after="120"/>
        <w:ind w:left="360"/>
        <w:jc w:val="both"/>
        <w:rPr>
          <w:rFonts w:asciiTheme="minorHAnsi" w:hAnsiTheme="minorHAnsi"/>
          <w:u w:val="single"/>
        </w:rPr>
      </w:pPr>
      <w:r>
        <w:rPr>
          <w:rFonts w:asciiTheme="minorHAnsi" w:hAnsiTheme="minorHAnsi"/>
          <w:u w:val="single"/>
        </w:rPr>
        <w:t>Clarify the liter exemption</w:t>
      </w:r>
    </w:p>
    <w:p w:rsidR="0084709A" w:rsidRDefault="0084709A" w:rsidP="0084709A">
      <w:pPr>
        <w:pStyle w:val="NoSpacing"/>
        <w:spacing w:after="120"/>
        <w:ind w:left="360"/>
        <w:jc w:val="both"/>
        <w:rPr>
          <w:rFonts w:asciiTheme="minorHAnsi" w:hAnsiTheme="minorHAnsi"/>
        </w:rPr>
      </w:pPr>
      <w:r>
        <w:rPr>
          <w:rFonts w:asciiTheme="minorHAnsi" w:hAnsiTheme="minorHAnsi"/>
        </w:rPr>
        <w:t>The OTC model rule revises the applicability section to clarify the “liter exemption.”  Currently, the 2002 AIM model rule does not regulate coatings sold in containers with a volume of one liter (1.057 quart) or less.  Some manufacturers and suppliers have attempted to circumvent this rule by selling their coatings in bundles of quart containers inside a larger pail, implying that the user would empty the quart containers into the larger container.   To prevent this from occurring, the OTC model rule modifies the language to clearly prohibit this type of “bundling”.</w:t>
      </w:r>
    </w:p>
    <w:p w:rsidR="0084709A" w:rsidRDefault="0084709A" w:rsidP="0084709A">
      <w:pPr>
        <w:pStyle w:val="NoSpacing"/>
        <w:spacing w:after="120"/>
        <w:ind w:left="360"/>
        <w:jc w:val="both"/>
        <w:rPr>
          <w:rFonts w:asciiTheme="minorHAnsi" w:hAnsiTheme="minorHAnsi"/>
          <w:u w:val="single"/>
        </w:rPr>
      </w:pPr>
      <w:r>
        <w:rPr>
          <w:rFonts w:asciiTheme="minorHAnsi" w:hAnsiTheme="minorHAnsi"/>
          <w:u w:val="single"/>
        </w:rPr>
        <w:t>Broaden the scope of States data collection authority</w:t>
      </w:r>
    </w:p>
    <w:p w:rsidR="0084709A" w:rsidRDefault="0084709A" w:rsidP="0084709A">
      <w:pPr>
        <w:pStyle w:val="NoSpacing"/>
        <w:spacing w:after="200"/>
        <w:ind w:left="360"/>
        <w:jc w:val="both"/>
        <w:rPr>
          <w:rFonts w:asciiTheme="minorHAnsi" w:hAnsiTheme="minorHAnsi"/>
        </w:rPr>
      </w:pPr>
      <w:r>
        <w:rPr>
          <w:rFonts w:asciiTheme="minorHAnsi" w:hAnsiTheme="minorHAnsi"/>
        </w:rPr>
        <w:t>This OTC model rule broadens the scope of the States authority to collect information pursuant to the “reporting requirements” in section of the rule.  The revisions grant more time for manufacturers to respond and allow the States to request more information than the existing rule.  The current 2002 AIM model rule does not allow States to request information on products manufactured for use outside of the state (which could then be sold back into the state) or sold in the state in containers of one liter or less.  In the past, some manufacturers have voluntarily provided this information when requested, but others have resisted.  The collection of this information is important in developing emission inventories and enforcing the rule in the States which adopt it.</w:t>
      </w:r>
    </w:p>
    <w:p w:rsidR="0084709A" w:rsidRDefault="0084709A" w:rsidP="0084709A">
      <w:pPr>
        <w:pStyle w:val="NoSpacing"/>
        <w:spacing w:after="120"/>
        <w:ind w:left="360"/>
        <w:rPr>
          <w:rFonts w:asciiTheme="minorHAnsi" w:hAnsiTheme="minorHAnsi"/>
          <w:u w:val="single"/>
        </w:rPr>
      </w:pPr>
      <w:r>
        <w:rPr>
          <w:rFonts w:asciiTheme="minorHAnsi" w:hAnsiTheme="minorHAnsi"/>
          <w:u w:val="single"/>
        </w:rPr>
        <w:t>Variations and Updates from Other Rules</w:t>
      </w:r>
    </w:p>
    <w:p w:rsidR="0084709A" w:rsidRDefault="0084709A" w:rsidP="0084709A">
      <w:pPr>
        <w:pStyle w:val="NoSpacing"/>
        <w:spacing w:after="120"/>
        <w:ind w:left="360"/>
        <w:jc w:val="both"/>
        <w:rPr>
          <w:rFonts w:asciiTheme="minorHAnsi" w:hAnsiTheme="minorHAnsi"/>
        </w:rPr>
      </w:pPr>
      <w:r>
        <w:rPr>
          <w:rFonts w:asciiTheme="minorHAnsi" w:hAnsiTheme="minorHAnsi"/>
        </w:rPr>
        <w:t xml:space="preserve">The Ozone Transport Commission (OTC) staff worked with stakeholders to determine where VOC limits could be lowered to allow for future emissions reductions.  During the stakeholder process it was determined that most of the CARB VOC limits were feasible for the OTC region, </w:t>
      </w:r>
      <w:r w:rsidR="0060782B">
        <w:rPr>
          <w:noProof/>
        </w:rPr>
        <mc:AlternateContent>
          <mc:Choice Requires="wps">
            <w:drawing>
              <wp:anchor distT="0" distB="0" distL="114300" distR="114300" simplePos="0" relativeHeight="251712512" behindDoc="0" locked="1" layoutInCell="1" allowOverlap="0" wp14:anchorId="37F0C09B" wp14:editId="2A19CA42">
                <wp:simplePos x="0" y="0"/>
                <wp:positionH relativeFrom="margin">
                  <wp:posOffset>2876550</wp:posOffset>
                </wp:positionH>
                <wp:positionV relativeFrom="bottomMargin">
                  <wp:posOffset>222250</wp:posOffset>
                </wp:positionV>
                <wp:extent cx="914400" cy="237490"/>
                <wp:effectExtent l="0" t="0" r="0" b="0"/>
                <wp:wrapNone/>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237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782B" w:rsidRDefault="0060782B" w:rsidP="0060782B">
                            <w:pPr>
                              <w:ind w:right="60"/>
                              <w:rPr>
                                <w:rFonts w:asciiTheme="minorHAnsi" w:hAnsiTheme="minorHAnsi"/>
                                <w:sz w:val="20"/>
                                <w:szCs w:val="20"/>
                              </w:rPr>
                            </w:pPr>
                            <w:hyperlink w:anchor="TOC" w:history="1">
                              <w:r>
                                <w:rPr>
                                  <w:rStyle w:val="Hyperlink"/>
                                  <w:sz w:val="20"/>
                                  <w:szCs w:val="20"/>
                                </w:rPr>
                                <w:t>Back to TOC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0C09B" id="Text Box 192" o:spid="_x0000_s1043" type="#_x0000_t202" style="position:absolute;left:0;text-align:left;margin-left:226.5pt;margin-top:17.5pt;width:1in;height:18.7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MelgIAAK4FAAAOAAAAZHJzL2Uyb0RvYy54bWysVN9PGzEMfp+0/yHK+7i2FFhPXFEHYppU&#10;ARpMPKe5hEYkcZakvev+epzc9QeMF6a93DnxZzu2P/v8ojWarIUPCmxFh0cDSoTlUCv7VNFfD9df&#10;vlISIrM102BFRTci0Ivp50/njSvFCJaga+EJOrGhbFxFlzG6sigCXwrDwhE4YVEpwRsW8eifitqz&#10;Br0bXYwGg9OiAV87D1yEgLdXnZJOs38pBY+3UgYRia4ovi3mr8/fRfoW03NWPnnmlor3z2D/8ArD&#10;lMWgO1dXLDKy8uovV0ZxDwFkPOJgCpBScZFzwGyGgzfZ3C+ZEzkXLE5wuzKF/+eW36zvPFE19m4y&#10;osQyg016EG0k36Al6Q4r1LhQIvDeITS2qEB0zja4OfDngJDiANMZBESnirTSm/THXAkaYhM2u8Kn&#10;OBwvJ8PxeIAajqrR8dl4khtT7I2dD/G7AEOSUFGPfc0PYOt5iCk8K7eQFCuAVvW10jofEpfEpfZk&#10;zZAFOg5TTmjxCqUtaSp6enwyyI4tJPMOp21yIzKb+nAp2y7BLMWNFgmj7U8hsZo5z3diM86F3cXP&#10;6ISSGOojhj1+/6qPGHd5oEWODDbujI2y4Lu+vi5Z/bwtmezwfb9Dl3cqQWwXbabRKEPT1QLqDRLG&#10;Qzd0wfFrhd2bsxDvmMcpw4bj5oi3+JEasPrQS5Qswf957z7hkfyopaTBqa1o+L1iXlCif1gci0wk&#10;HPN8GJ+cjTCGP9QsDjV2ZS4BKTHEHeV4FhM+6q0oPZhHXDCzFBVVzHKMXdG4FS9jt0twQXExm2UQ&#10;DrZjcW7vHd/OSeLmQ/vIvOsJHJH5N7Cdb1a+4XGHTQ2yMFtFkCqTfF/VvgG4FDKT+wWWts7hOaP2&#10;a3b6AgAA//8DAFBLAwQUAAYACAAAACEA6W9Z6uAAAAAJAQAADwAAAGRycy9kb3ducmV2LnhtbEyP&#10;zU7DQAyE70i8w8pIXCq66U8ohDgVQlRqDz0QuPS2zZokIuuNsts2vD3mBCfbmtH4m3w9uk6daQit&#10;Z4TZNAFFXHnbco3w8b65ewAVomFrOs+E8E0B1sX1VW4y6y/8Rucy1kpCOGQGoYmxz7QOVUPOhKnv&#10;iUX79IMzUc6h1nYwFwl3nZ4nyb12pmX50JieXhqqvsqTQ9iHw3ZyGLabSRms3hHtX3eziHh7Mz4/&#10;gYo0xj8z/OILOhTCdPQntkF1CMt0IV0iwiKVKYb0cSXLEWE1X4Iucv2/QfEDAAD//wMAUEsBAi0A&#10;FAAGAAgAAAAhALaDOJL+AAAA4QEAABMAAAAAAAAAAAAAAAAAAAAAAFtDb250ZW50X1R5cGVzXS54&#10;bWxQSwECLQAUAAYACAAAACEAOP0h/9YAAACUAQAACwAAAAAAAAAAAAAAAAAvAQAAX3JlbHMvLnJl&#10;bHNQSwECLQAUAAYACAAAACEAG6vjHpYCAACuBQAADgAAAAAAAAAAAAAAAAAuAgAAZHJzL2Uyb0Rv&#10;Yy54bWxQSwECLQAUAAYACAAAACEA6W9Z6uAAAAAJAQAADwAAAAAAAAAAAAAAAADwBAAAZHJzL2Rv&#10;d25yZXYueG1sUEsFBgAAAAAEAAQA8wAAAP0FAAAAAA==&#10;" o:allowoverlap="f" fillcolor="white [3201]" stroked="f" strokeweight=".5pt">
                <v:path arrowok="t"/>
                <v:textbox>
                  <w:txbxContent>
                    <w:p w:rsidR="0060782B" w:rsidRDefault="0060782B" w:rsidP="0060782B">
                      <w:pPr>
                        <w:ind w:right="60"/>
                        <w:rPr>
                          <w:rFonts w:asciiTheme="minorHAnsi" w:hAnsiTheme="minorHAnsi"/>
                          <w:sz w:val="20"/>
                          <w:szCs w:val="20"/>
                        </w:rPr>
                      </w:pPr>
                      <w:hyperlink w:anchor="TOC" w:history="1">
                        <w:r>
                          <w:rPr>
                            <w:rStyle w:val="Hyperlink"/>
                            <w:sz w:val="20"/>
                            <w:szCs w:val="20"/>
                          </w:rPr>
                          <w:t>Back to TOC</w:t>
                        </w:r>
                      </w:hyperlink>
                    </w:p>
                  </w:txbxContent>
                </v:textbox>
                <w10:wrap anchorx="margin" anchory="margin"/>
                <w10:anchorlock/>
              </v:shape>
            </w:pict>
          </mc:Fallback>
        </mc:AlternateContent>
      </w:r>
      <w:r>
        <w:rPr>
          <w:rFonts w:asciiTheme="minorHAnsi" w:hAnsiTheme="minorHAnsi"/>
        </w:rPr>
        <w:t xml:space="preserve">and in most cases already being sold to the public already.   While largely based on the 2007 </w:t>
      </w:r>
      <w:r>
        <w:rPr>
          <w:rFonts w:asciiTheme="minorHAnsi" w:hAnsiTheme="minorHAnsi"/>
        </w:rPr>
        <w:lastRenderedPageBreak/>
        <w:t>CARB SCM, there are some areas where the OTC AIM model rule does not match the 2007 CARB SCM.</w:t>
      </w:r>
    </w:p>
    <w:p w:rsidR="0084709A" w:rsidRDefault="0084709A" w:rsidP="0084709A">
      <w:pPr>
        <w:pStyle w:val="NoSpacing"/>
        <w:spacing w:after="120"/>
        <w:ind w:left="360"/>
        <w:jc w:val="both"/>
        <w:rPr>
          <w:rFonts w:asciiTheme="minorHAnsi" w:hAnsiTheme="minorHAnsi"/>
        </w:rPr>
      </w:pPr>
      <w:r>
        <w:rPr>
          <w:rFonts w:asciiTheme="minorHAnsi" w:hAnsiTheme="minorHAnsi"/>
        </w:rPr>
        <w:t>The current OTC model rule is an update to the 2002 AIM Model Rule. The 2007 CARB SCM, which served as the basis for this model rule, had compliance dates of 1/1/2010 for 40 of 42 product categories, and 1/1/2012 for the remaining 2 categories (although some of these limits have not changed from the 2000 SCM).The OTC model rule which has an effective date of January 1, 2014 includes all new categories defined in the 2007 CARB SCM as well as</w:t>
      </w:r>
      <w:r>
        <w:rPr>
          <w:rFonts w:asciiTheme="minorHAnsi" w:hAnsiTheme="minorHAnsi"/>
          <w:b/>
        </w:rPr>
        <w:t xml:space="preserve"> </w:t>
      </w:r>
      <w:r>
        <w:rPr>
          <w:rFonts w:asciiTheme="minorHAnsi" w:hAnsiTheme="minorHAnsi"/>
        </w:rPr>
        <w:t>the following 8 specialty coating categories specific to the Ozone Transport Region:</w:t>
      </w:r>
    </w:p>
    <w:p w:rsidR="0084709A" w:rsidRDefault="0084709A" w:rsidP="0084709A">
      <w:pPr>
        <w:pStyle w:val="NoSpacing"/>
        <w:spacing w:before="120" w:after="60"/>
        <w:ind w:left="360"/>
        <w:rPr>
          <w:rFonts w:asciiTheme="minorHAnsi" w:hAnsiTheme="minorHAnsi"/>
        </w:rPr>
      </w:pPr>
      <w:r>
        <w:rPr>
          <w:rFonts w:asciiTheme="minorHAnsi" w:hAnsiTheme="minorHAnsi"/>
        </w:rPr>
        <w:t>From 2002 OTC Model Rule</w:t>
      </w:r>
    </w:p>
    <w:p w:rsidR="0084709A" w:rsidRDefault="0084709A" w:rsidP="0084709A">
      <w:pPr>
        <w:pStyle w:val="NoSpacing"/>
        <w:numPr>
          <w:ilvl w:val="0"/>
          <w:numId w:val="37"/>
        </w:numPr>
        <w:ind w:left="720" w:hanging="180"/>
        <w:rPr>
          <w:rFonts w:asciiTheme="minorHAnsi" w:hAnsiTheme="minorHAnsi"/>
        </w:rPr>
      </w:pPr>
      <w:r>
        <w:rPr>
          <w:rFonts w:asciiTheme="minorHAnsi" w:hAnsiTheme="minorHAnsi"/>
        </w:rPr>
        <w:t xml:space="preserve">Calcimine Recoaters </w:t>
      </w:r>
    </w:p>
    <w:p w:rsidR="0084709A" w:rsidRDefault="0084709A" w:rsidP="0084709A">
      <w:pPr>
        <w:pStyle w:val="NoSpacing"/>
        <w:numPr>
          <w:ilvl w:val="0"/>
          <w:numId w:val="37"/>
        </w:numPr>
        <w:ind w:left="720" w:hanging="180"/>
        <w:rPr>
          <w:rFonts w:asciiTheme="minorHAnsi" w:hAnsiTheme="minorHAnsi"/>
        </w:rPr>
      </w:pPr>
      <w:r>
        <w:rPr>
          <w:rFonts w:asciiTheme="minorHAnsi" w:hAnsiTheme="minorHAnsi"/>
        </w:rPr>
        <w:t xml:space="preserve">Concrete Surface Retarders </w:t>
      </w:r>
    </w:p>
    <w:p w:rsidR="0084709A" w:rsidRDefault="0084709A" w:rsidP="0084709A">
      <w:pPr>
        <w:pStyle w:val="NoSpacing"/>
        <w:numPr>
          <w:ilvl w:val="0"/>
          <w:numId w:val="37"/>
        </w:numPr>
        <w:ind w:left="720" w:hanging="180"/>
        <w:rPr>
          <w:rFonts w:asciiTheme="minorHAnsi" w:hAnsiTheme="minorHAnsi"/>
        </w:rPr>
      </w:pPr>
      <w:r>
        <w:rPr>
          <w:rFonts w:asciiTheme="minorHAnsi" w:hAnsiTheme="minorHAnsi"/>
        </w:rPr>
        <w:t>Conversion Varnish</w:t>
      </w:r>
    </w:p>
    <w:p w:rsidR="0084709A" w:rsidRDefault="0084709A" w:rsidP="0084709A">
      <w:pPr>
        <w:pStyle w:val="NoSpacing"/>
        <w:numPr>
          <w:ilvl w:val="0"/>
          <w:numId w:val="37"/>
        </w:numPr>
        <w:ind w:left="720" w:hanging="180"/>
        <w:rPr>
          <w:rFonts w:asciiTheme="minorHAnsi" w:hAnsiTheme="minorHAnsi"/>
        </w:rPr>
      </w:pPr>
      <w:r>
        <w:rPr>
          <w:rFonts w:asciiTheme="minorHAnsi" w:hAnsiTheme="minorHAnsi"/>
        </w:rPr>
        <w:t xml:space="preserve">Impacted Immersion coatings </w:t>
      </w:r>
    </w:p>
    <w:p w:rsidR="0084709A" w:rsidRDefault="0084709A" w:rsidP="0084709A">
      <w:pPr>
        <w:pStyle w:val="NoSpacing"/>
        <w:numPr>
          <w:ilvl w:val="0"/>
          <w:numId w:val="37"/>
        </w:numPr>
        <w:ind w:left="720" w:hanging="180"/>
        <w:rPr>
          <w:rFonts w:asciiTheme="minorHAnsi" w:hAnsiTheme="minorHAnsi"/>
        </w:rPr>
      </w:pPr>
      <w:r>
        <w:rPr>
          <w:rFonts w:asciiTheme="minorHAnsi" w:hAnsiTheme="minorHAnsi"/>
        </w:rPr>
        <w:t>Nuclear Coatings</w:t>
      </w:r>
    </w:p>
    <w:p w:rsidR="0084709A" w:rsidRDefault="0084709A" w:rsidP="0084709A">
      <w:pPr>
        <w:pStyle w:val="NoSpacing"/>
        <w:numPr>
          <w:ilvl w:val="0"/>
          <w:numId w:val="37"/>
        </w:numPr>
        <w:ind w:left="720" w:hanging="180"/>
        <w:rPr>
          <w:rFonts w:asciiTheme="minorHAnsi" w:hAnsiTheme="minorHAnsi"/>
        </w:rPr>
      </w:pPr>
      <w:r>
        <w:rPr>
          <w:rFonts w:asciiTheme="minorHAnsi" w:hAnsiTheme="minorHAnsi"/>
        </w:rPr>
        <w:t>Thermoplastic Rubber Coatings and Mastics</w:t>
      </w:r>
    </w:p>
    <w:p w:rsidR="0084709A" w:rsidRDefault="0084709A" w:rsidP="0084709A">
      <w:pPr>
        <w:pStyle w:val="NoSpacing"/>
        <w:spacing w:before="120" w:after="60"/>
        <w:ind w:left="360"/>
        <w:rPr>
          <w:rFonts w:asciiTheme="minorHAnsi" w:hAnsiTheme="minorHAnsi"/>
        </w:rPr>
      </w:pPr>
      <w:r>
        <w:rPr>
          <w:rFonts w:asciiTheme="minorHAnsi" w:hAnsiTheme="minorHAnsi"/>
        </w:rPr>
        <w:t>2010 OTC Model Rule Additions</w:t>
      </w:r>
    </w:p>
    <w:p w:rsidR="0084709A" w:rsidRDefault="0084709A" w:rsidP="0084709A">
      <w:pPr>
        <w:pStyle w:val="NoSpacing"/>
        <w:numPr>
          <w:ilvl w:val="0"/>
          <w:numId w:val="37"/>
        </w:numPr>
        <w:ind w:left="720" w:hanging="180"/>
        <w:rPr>
          <w:rFonts w:asciiTheme="minorHAnsi" w:hAnsiTheme="minorHAnsi"/>
        </w:rPr>
      </w:pPr>
      <w:r>
        <w:rPr>
          <w:rFonts w:asciiTheme="minorHAnsi" w:hAnsiTheme="minorHAnsi"/>
        </w:rPr>
        <w:t>Reactive Penetrating Carbonate Stone Sealer</w:t>
      </w:r>
    </w:p>
    <w:p w:rsidR="0084709A" w:rsidRDefault="0084709A" w:rsidP="0084709A">
      <w:pPr>
        <w:pStyle w:val="NoSpacing"/>
        <w:numPr>
          <w:ilvl w:val="0"/>
          <w:numId w:val="37"/>
        </w:numPr>
        <w:ind w:left="720" w:hanging="180"/>
        <w:rPr>
          <w:rFonts w:asciiTheme="minorHAnsi" w:hAnsiTheme="minorHAnsi"/>
        </w:rPr>
      </w:pPr>
      <w:r>
        <w:rPr>
          <w:rFonts w:asciiTheme="minorHAnsi" w:hAnsiTheme="minorHAnsi"/>
        </w:rPr>
        <w:t>Conjugated Oil Varnish</w:t>
      </w:r>
    </w:p>
    <w:p w:rsidR="0084709A" w:rsidRDefault="0084709A" w:rsidP="0084709A">
      <w:pPr>
        <w:pStyle w:val="NoSpacing"/>
        <w:spacing w:before="120"/>
        <w:ind w:left="360"/>
        <w:jc w:val="both"/>
        <w:rPr>
          <w:rFonts w:asciiTheme="minorHAnsi" w:hAnsiTheme="minorHAnsi"/>
        </w:rPr>
      </w:pPr>
      <w:r>
        <w:rPr>
          <w:rFonts w:asciiTheme="minorHAnsi" w:hAnsiTheme="minorHAnsi"/>
        </w:rPr>
        <w:t>Six of the above eight coating categories were added into the 2002 AIM model rule and the justification for these coatings can be found in its Preamble.  After extensive discussions with stakeholders, two new categories (Conjugated Oil Varnish and Reactive Penetrating Carbonate Stone Sealer) were added to this newer AIM model rule with the following justifications:</w:t>
      </w:r>
    </w:p>
    <w:p w:rsidR="0084709A" w:rsidRDefault="0084709A" w:rsidP="0084709A">
      <w:pPr>
        <w:pStyle w:val="NoSpacing"/>
        <w:spacing w:before="120" w:after="60"/>
        <w:ind w:left="360"/>
        <w:jc w:val="both"/>
        <w:rPr>
          <w:rFonts w:asciiTheme="minorHAnsi" w:hAnsiTheme="minorHAnsi"/>
          <w:u w:val="single"/>
        </w:rPr>
      </w:pPr>
      <w:r>
        <w:rPr>
          <w:rFonts w:asciiTheme="minorHAnsi" w:hAnsiTheme="minorHAnsi"/>
          <w:u w:val="single"/>
        </w:rPr>
        <w:t>Conjugated Oil Varnish</w:t>
      </w:r>
    </w:p>
    <w:p w:rsidR="0084709A" w:rsidRDefault="0084709A" w:rsidP="0084709A">
      <w:pPr>
        <w:pStyle w:val="NoSpacing"/>
        <w:spacing w:after="120"/>
        <w:ind w:left="360"/>
        <w:jc w:val="both"/>
        <w:rPr>
          <w:rFonts w:asciiTheme="minorHAnsi" w:hAnsiTheme="minorHAnsi"/>
        </w:rPr>
      </w:pPr>
      <w:r>
        <w:rPr>
          <w:rFonts w:asciiTheme="minorHAnsi" w:hAnsiTheme="minorHAnsi"/>
        </w:rPr>
        <w:t>Used in high end floor restoration/renovation and results in a unique finish which matches older varnish.  This is a small volume niche coating product used primarily by contractors, and is generally more expensive compared to other consumer applied floor finish products (2007 CARB SCM, P5-211).</w:t>
      </w:r>
    </w:p>
    <w:p w:rsidR="0084709A" w:rsidRDefault="0084709A" w:rsidP="0084709A">
      <w:pPr>
        <w:pStyle w:val="NoSpacing"/>
        <w:spacing w:before="120" w:after="60"/>
        <w:ind w:left="360"/>
        <w:jc w:val="both"/>
        <w:rPr>
          <w:rFonts w:asciiTheme="minorHAnsi" w:hAnsiTheme="minorHAnsi"/>
          <w:u w:val="single"/>
        </w:rPr>
      </w:pPr>
      <w:r>
        <w:rPr>
          <w:rFonts w:asciiTheme="minorHAnsi" w:hAnsiTheme="minorHAnsi"/>
          <w:u w:val="single"/>
        </w:rPr>
        <w:t>Reactive Penetrating Carbonate Stone Sealer</w:t>
      </w:r>
    </w:p>
    <w:p w:rsidR="0084709A" w:rsidRDefault="0084709A" w:rsidP="0084709A">
      <w:pPr>
        <w:pStyle w:val="NoSpacing"/>
        <w:spacing w:after="60"/>
        <w:ind w:left="360"/>
        <w:jc w:val="both"/>
        <w:rPr>
          <w:rFonts w:asciiTheme="minorHAnsi" w:hAnsiTheme="minorHAnsi"/>
        </w:rPr>
      </w:pPr>
      <w:r>
        <w:rPr>
          <w:rFonts w:asciiTheme="minorHAnsi" w:hAnsiTheme="minorHAnsi"/>
        </w:rPr>
        <w:t>Carbonate stone is widely used in the Northeast as exterior and façade components in commercial and institutional construction.  The northeastern United States has an estimated inventory of 50,000 buildings, 10,000 memorials, and tens of millions of grave markers constructed of carbonate stone subject to acid rain degradation.  This sealer is another small volume niche coating product which has a specific use in the OTR and the OTC recognizes the need for this coating category in historical preservation/renovation.</w:t>
      </w:r>
    </w:p>
    <w:p w:rsidR="0084709A" w:rsidRDefault="0060782B" w:rsidP="0084709A">
      <w:pPr>
        <w:pStyle w:val="NoSpacing"/>
        <w:spacing w:before="120" w:after="60"/>
        <w:ind w:left="360"/>
        <w:rPr>
          <w:rFonts w:asciiTheme="minorHAnsi" w:hAnsiTheme="minorHAnsi"/>
        </w:rPr>
      </w:pPr>
      <w:r>
        <w:rPr>
          <w:noProof/>
        </w:rPr>
        <mc:AlternateContent>
          <mc:Choice Requires="wps">
            <w:drawing>
              <wp:anchor distT="0" distB="0" distL="114300" distR="114300" simplePos="0" relativeHeight="251714560" behindDoc="0" locked="1" layoutInCell="1" allowOverlap="0" wp14:anchorId="37F0C09B" wp14:editId="2A19CA42">
                <wp:simplePos x="0" y="0"/>
                <wp:positionH relativeFrom="margin">
                  <wp:posOffset>2981325</wp:posOffset>
                </wp:positionH>
                <wp:positionV relativeFrom="bottomMargin">
                  <wp:posOffset>224155</wp:posOffset>
                </wp:positionV>
                <wp:extent cx="914400" cy="237490"/>
                <wp:effectExtent l="0" t="0" r="0" b="0"/>
                <wp:wrapNone/>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237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782B" w:rsidRDefault="0060782B" w:rsidP="0060782B">
                            <w:pPr>
                              <w:ind w:right="60"/>
                              <w:rPr>
                                <w:rFonts w:asciiTheme="minorHAnsi" w:hAnsiTheme="minorHAnsi"/>
                                <w:sz w:val="20"/>
                                <w:szCs w:val="20"/>
                              </w:rPr>
                            </w:pPr>
                            <w:hyperlink w:anchor="TOC" w:history="1">
                              <w:r>
                                <w:rPr>
                                  <w:rStyle w:val="Hyperlink"/>
                                  <w:sz w:val="20"/>
                                  <w:szCs w:val="20"/>
                                </w:rPr>
                                <w:t>Back to TOC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0C09B" id="Text Box 193" o:spid="_x0000_s1044" type="#_x0000_t202" style="position:absolute;left:0;text-align:left;margin-left:234.75pt;margin-top:17.65pt;width:1in;height:18.7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N9OmAIAAK4FAAAOAAAAZHJzL2Uyb0RvYy54bWysVFFPGzEMfp+0/xDlfVxbCowTV9SBmCZV&#10;gAYTz2kuoRFJnCVp77pfj5O7K4XxwrSXOyf+bMf2Z5+dt0aTjfBBga3o+GBEibAcamUfK/rr/urL&#10;V0pCZLZmGqyo6FYEej77/OmscaWYwAp0LTxBJzaUjavoKkZXFkXgK2FYOAAnLColeMMiHv1jUXvW&#10;oHeji8lodFw04GvngYsQ8PayU9JZ9i+l4PFGyiAi0RXFt8X89fm7TN9idsbKR8/cSvH+GewfXmGY&#10;shh05+qSRUbWXv3lyijuIYCMBxxMAVIqLnIOmM149CabuxVzIueCxQluV6bw/9zy682tJ6rG3p0e&#10;UmKZwSbdizaSb9CSdIcValwoEXjnEBpbVCA6ZxvcAvhTQEixh+kMAqJTRVrpTfpjrgQNsQnbXeFT&#10;HI6Xp+PpdIQajqrJ4cn0NDemeDF2PsTvAgxJQkU99jU/gG0WIabwrBwgKVYAreorpXU+JC6JC+3J&#10;hiELdBynnNDiFUpb0lT0+PBolB1bSOYdTtvkRmQ29eFStl2CWYpbLRJG259CYjVznu/EZpwLu4uf&#10;0QklMdRHDHv8y6s+YtzlgRY5Mti4MzbKgu/6+rpk9dNQMtnh+36HLu9Ugtgu20yjyWRgzBLqLRLG&#10;Qzd0wfErhd1bsBBvmccpw4bj5og3+JEasPrQS5SswP957z7hkfyopaTBqa1o+L1mXlCif1gci0wk&#10;HPN8mB6dTDCG39cs9zV2bS4AKTHGHeV4FhM+6kGUHswDLph5iooqZjnGrmgcxIvY7RJcUFzM5xmE&#10;g+1YXNg7x4c5Sdy8bx+Ydz2BIzL/Gob5ZuUbHnfY1CAL83UEqTLJU6G7qvYNwKWQmdwvsLR19s8Z&#10;9bJmZ88AAAD//wMAUEsDBBQABgAIAAAAIQBVhOFM4AAAAAkBAAAPAAAAZHJzL2Rvd25yZXYueG1s&#10;TI/BTsMwDIbvSLxDZCQuE0u7sg5K3QkhJm2HHShcdssa01Y0SZVkW3l7zAmOtj/9/v5yPZlBnMmH&#10;3lmEdJ6AINs43dsW4eN9c/cAIkRltRqcJYRvCrCurq9KVWh3sW90rmMrOMSGQiF0MY6FlKHpyKgw&#10;dyNZvn06b1Tk0bdSe3XhcDPIRZLk0qje8odOjfTSUfNVnwzCPhy2s4PfbmZ10HJHtH/dpRHx9mZ6&#10;fgIRaYp/MPzqszpU7HR0J6uDGBDu88clowjZMgPBQJ5mvDgirBYrkFUp/zeofgAAAP//AwBQSwEC&#10;LQAUAAYACAAAACEAtoM4kv4AAADhAQAAEwAAAAAAAAAAAAAAAAAAAAAAW0NvbnRlbnRfVHlwZXNd&#10;LnhtbFBLAQItABQABgAIAAAAIQA4/SH/1gAAAJQBAAALAAAAAAAAAAAAAAAAAC8BAABfcmVscy8u&#10;cmVsc1BLAQItABQABgAIAAAAIQCMCN9OmAIAAK4FAAAOAAAAAAAAAAAAAAAAAC4CAABkcnMvZTJv&#10;RG9jLnhtbFBLAQItABQABgAIAAAAIQBVhOFM4AAAAAkBAAAPAAAAAAAAAAAAAAAAAPIEAABkcnMv&#10;ZG93bnJldi54bWxQSwUGAAAAAAQABADzAAAA/wUAAAAA&#10;" o:allowoverlap="f" fillcolor="white [3201]" stroked="f" strokeweight=".5pt">
                <v:path arrowok="t"/>
                <v:textbox>
                  <w:txbxContent>
                    <w:p w:rsidR="0060782B" w:rsidRDefault="0060782B" w:rsidP="0060782B">
                      <w:pPr>
                        <w:ind w:right="60"/>
                        <w:rPr>
                          <w:rFonts w:asciiTheme="minorHAnsi" w:hAnsiTheme="minorHAnsi"/>
                          <w:sz w:val="20"/>
                          <w:szCs w:val="20"/>
                        </w:rPr>
                      </w:pPr>
                      <w:hyperlink w:anchor="TOC" w:history="1">
                        <w:r>
                          <w:rPr>
                            <w:rStyle w:val="Hyperlink"/>
                            <w:sz w:val="20"/>
                            <w:szCs w:val="20"/>
                          </w:rPr>
                          <w:t>Back to TOC</w:t>
                        </w:r>
                      </w:hyperlink>
                    </w:p>
                  </w:txbxContent>
                </v:textbox>
                <w10:wrap anchorx="margin" anchory="margin"/>
                <w10:anchorlock/>
              </v:shape>
            </w:pict>
          </mc:Fallback>
        </mc:AlternateContent>
      </w:r>
      <w:r w:rsidR="0084709A">
        <w:rPr>
          <w:rFonts w:asciiTheme="minorHAnsi" w:hAnsiTheme="minorHAnsi"/>
        </w:rPr>
        <w:t>In addition, the following 3 specialty coating categories have higher limits in the OTC model rule compared to the 2007 CARB SCM:</w:t>
      </w:r>
    </w:p>
    <w:p w:rsidR="0084709A" w:rsidRDefault="0084709A" w:rsidP="0084709A">
      <w:pPr>
        <w:pStyle w:val="NoSpacing"/>
        <w:numPr>
          <w:ilvl w:val="0"/>
          <w:numId w:val="38"/>
        </w:numPr>
        <w:ind w:hanging="180"/>
        <w:rPr>
          <w:rFonts w:asciiTheme="minorHAnsi" w:hAnsiTheme="minorHAnsi"/>
        </w:rPr>
      </w:pPr>
      <w:r>
        <w:rPr>
          <w:rFonts w:asciiTheme="minorHAnsi" w:hAnsiTheme="minorHAnsi"/>
        </w:rPr>
        <w:t>Aluminum Roof</w:t>
      </w:r>
    </w:p>
    <w:p w:rsidR="0084709A" w:rsidRDefault="0084709A" w:rsidP="0084709A">
      <w:pPr>
        <w:pStyle w:val="NoSpacing"/>
        <w:numPr>
          <w:ilvl w:val="0"/>
          <w:numId w:val="38"/>
        </w:numPr>
        <w:ind w:hanging="180"/>
        <w:rPr>
          <w:rFonts w:asciiTheme="minorHAnsi" w:hAnsiTheme="minorHAnsi"/>
        </w:rPr>
      </w:pPr>
      <w:r>
        <w:rPr>
          <w:rFonts w:asciiTheme="minorHAnsi" w:hAnsiTheme="minorHAnsi"/>
        </w:rPr>
        <w:t>Bituminous Roof</w:t>
      </w:r>
    </w:p>
    <w:p w:rsidR="0084709A" w:rsidRDefault="0084709A" w:rsidP="0084709A">
      <w:pPr>
        <w:pStyle w:val="NoSpacing"/>
        <w:numPr>
          <w:ilvl w:val="0"/>
          <w:numId w:val="38"/>
        </w:numPr>
        <w:ind w:hanging="180"/>
        <w:rPr>
          <w:rFonts w:asciiTheme="minorHAnsi" w:hAnsiTheme="minorHAnsi"/>
        </w:rPr>
      </w:pPr>
      <w:r>
        <w:rPr>
          <w:rFonts w:asciiTheme="minorHAnsi" w:hAnsiTheme="minorHAnsi"/>
        </w:rPr>
        <w:t>Roof</w:t>
      </w:r>
    </w:p>
    <w:p w:rsidR="0084709A" w:rsidRDefault="0084709A" w:rsidP="0080655C">
      <w:pPr>
        <w:pStyle w:val="NoSpacing"/>
        <w:spacing w:before="120" w:after="240"/>
        <w:ind w:left="360"/>
        <w:jc w:val="both"/>
        <w:rPr>
          <w:rFonts w:asciiTheme="minorHAnsi" w:hAnsiTheme="minorHAnsi"/>
        </w:rPr>
      </w:pPr>
      <w:r>
        <w:rPr>
          <w:rFonts w:asciiTheme="minorHAnsi" w:hAnsiTheme="minorHAnsi"/>
        </w:rPr>
        <w:lastRenderedPageBreak/>
        <w:t xml:space="preserve">After extensive discussions with stakeholders, CARB staff, and careful review of the CARB SCM, the OTC decided that lowering the VOC limit of these roof coatings at this time was not appropriate.  Although the lower limit is listed in the 2007 CARB SCM, at the time of this review only five California Air Districts (all in warmer climates) had adopted the roof coating limits: BAAQMD,  SJVUAPCD, Ventura County APCD, Imperial County APCD, and Kern County APCD (see figure below).  In addition, stakeholders felt that they could not, at this time, formulate roof coatings which would be effective.  This category will be reviewed in the future at which time we anticipate setting lower limits.  </w:t>
      </w:r>
    </w:p>
    <w:p w:rsidR="00DA6CEC" w:rsidRPr="00DA6CEC" w:rsidRDefault="00DA6CEC" w:rsidP="0080655C">
      <w:pPr>
        <w:pStyle w:val="Caption"/>
        <w:keepNext/>
        <w:spacing w:before="120" w:after="120"/>
        <w:rPr>
          <w:rFonts w:asciiTheme="minorHAnsi" w:hAnsiTheme="minorHAnsi"/>
          <w:sz w:val="22"/>
          <w:szCs w:val="22"/>
        </w:rPr>
      </w:pPr>
      <w:bookmarkStart w:id="149" w:name="_Toc461106800"/>
      <w:r w:rsidRPr="00DA6CEC">
        <w:rPr>
          <w:rFonts w:asciiTheme="minorHAnsi" w:hAnsiTheme="minorHAnsi"/>
          <w:sz w:val="22"/>
          <w:szCs w:val="22"/>
        </w:rPr>
        <w:t>Figure 2-1</w:t>
      </w:r>
      <w:r w:rsidR="00CA472B">
        <w:rPr>
          <w:rFonts w:asciiTheme="minorHAnsi" w:hAnsiTheme="minorHAnsi"/>
          <w:sz w:val="22"/>
          <w:szCs w:val="22"/>
        </w:rPr>
        <w:tab/>
      </w:r>
      <w:r>
        <w:rPr>
          <w:rFonts w:asciiTheme="minorHAnsi" w:hAnsiTheme="minorHAnsi"/>
          <w:sz w:val="22"/>
          <w:szCs w:val="22"/>
        </w:rPr>
        <w:t>California Air Districts with Roof Coating Limits</w:t>
      </w:r>
      <w:bookmarkEnd w:id="149"/>
    </w:p>
    <w:p w:rsidR="0084709A" w:rsidRDefault="00BF7946" w:rsidP="0084709A">
      <w:pPr>
        <w:pStyle w:val="NoSpacing"/>
        <w:jc w:val="center"/>
        <w:rPr>
          <w:rFonts w:asciiTheme="minorHAnsi" w:hAnsiTheme="minorHAnsi"/>
          <w:sz w:val="22"/>
          <w:szCs w:val="22"/>
        </w:rPr>
      </w:pPr>
      <w:r>
        <w:rPr>
          <w:noProof/>
        </w:rPr>
        <mc:AlternateContent>
          <mc:Choice Requires="wps">
            <w:drawing>
              <wp:anchor distT="0" distB="0" distL="114300" distR="114300" simplePos="0" relativeHeight="251675648" behindDoc="0" locked="0" layoutInCell="1" allowOverlap="1" wp14:anchorId="6B316CD4" wp14:editId="6228E20C">
                <wp:simplePos x="0" y="0"/>
                <wp:positionH relativeFrom="column">
                  <wp:posOffset>3943350</wp:posOffset>
                </wp:positionH>
                <wp:positionV relativeFrom="paragraph">
                  <wp:posOffset>3558540</wp:posOffset>
                </wp:positionV>
                <wp:extent cx="561975" cy="314325"/>
                <wp:effectExtent l="0" t="0" r="28575" b="28575"/>
                <wp:wrapNone/>
                <wp:docPr id="11"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314325"/>
                        </a:xfrm>
                        <a:prstGeom prst="ellipse">
                          <a:avLst/>
                        </a:prstGeom>
                        <a:noFill/>
                        <a:ln w="1587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77193CBB" id="Oval 11" o:spid="_x0000_s1026" style="position:absolute;margin-left:310.5pt;margin-top:280.2pt;width:44.25pt;height:24.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28cQIAAO4EAAAOAAAAZHJzL2Uyb0RvYy54bWysVF9v2yAQf5+074B4T22nTppYdarKTqZJ&#10;3Vqp2wcggGM0DAxInG7qd9+BkyxZX6ZpfsB33HH8fveH27t9J9GOWye0KnF2lWLEFdVMqE2Jv35Z&#10;jWYYOU8UI1IrXuIX7vDd4v27294UfKxbLRm3CIIoV/SmxK33pkgSR1veEXelDVdgbLTtiAfVbhJm&#10;SQ/RO5mM03Sa9NoyYzXlzsFuPRjxIsZvGk79Y9M47pEsMWDzcbVxXYc1WdySYmOJaQU9wCD/gKIj&#10;QsGlp1A18QRtrXgTqhPUaqcbf0V1l+imEZRHDsAmS/9g89wSwyMXSI4zpzS5/xeWft49WSQY1C7D&#10;SJEOavS4IxKBCrnpjSvA5dk82cDOmQdNvzmkdNUSteH31uq+5YQBouifXBwIioOjaN1/0gwik63X&#10;MU37xnYhICQA7WM1Xk7V4HuPKGxOptn8ZoIRBdN1ll+PJwFRQorjYWOd/8B1h4JQYi6lMC7kixRk&#10;9+D84H30CttKr4SUseZSoR5AT2ZwRaSmpWDBGhW7WVfSIkhEias0fIe73bmb1VvFYrSQg+VB9kTI&#10;QQasUoV4QAnwHKShL37O0/lytpzlo3w8XY7ytK5H96sqH01X2c2kvq6rqs5eA7QsL1rBGFcB3bFH&#10;s/zveuAwLUN3nbr0goU7J7uK31uyySWMWAdgdfxHdrH4od5D36w1e4HaWz0MHTwSILTa/sCoh4Er&#10;sfu+JZZjJD8q6J95ludhQqOST27GoNhzy/rcQhSFUCX2GA1i5Yep3horNi3clMWyKn0PPdeI2Ayh&#10;HwdUgDsoMFSRweEBCFN7rkev38/U4hcAAAD//wMAUEsDBBQABgAIAAAAIQBgaHnA3wAAAAsBAAAP&#10;AAAAZHJzL2Rvd25yZXYueG1sTI8xT8MwFIR3JP6D9ZDYqN2qSUiIUyEkJiZCFzY3Nkna+DnEdhr6&#10;63lMdDzd6e67crfYgc1m8r1DCeuVAGawcbrHVsL+4/XhEZgPCrUaHBoJP8bDrrq9KVWh3RnfzVyH&#10;llEJ+kJJ6EIYC8590xmr/MqNBsn7cpNVgeTUcj2pM5XbgW+ESLlVPdJCp0bz0pnmVEcrIWaJTWM9&#10;6bd4FJ9Zvb9s5++LlPd3y/MTsGCW8B+GP3xCh4qYDi6i9myQkG7W9CVISFKxBUaJTOQJsANZIs+B&#10;VyW//lD9AgAA//8DAFBLAQItABQABgAIAAAAIQC2gziS/gAAAOEBAAATAAAAAAAAAAAAAAAAAAAA&#10;AABbQ29udGVudF9UeXBlc10ueG1sUEsBAi0AFAAGAAgAAAAhADj9If/WAAAAlAEAAAsAAAAAAAAA&#10;AAAAAAAALwEAAF9yZWxzLy5yZWxzUEsBAi0AFAAGAAgAAAAhAKiX/bxxAgAA7gQAAA4AAAAAAAAA&#10;AAAAAAAALgIAAGRycy9lMm9Eb2MueG1sUEsBAi0AFAAGAAgAAAAhAGBoecDfAAAACwEAAA8AAAAA&#10;AAAAAAAAAAAAywQAAGRycy9kb3ducmV2LnhtbFBLBQYAAAAABAAEAPMAAADXBQAAAAA=&#10;" filled="f" strokecolor="#c00000" strokeweight="1.25pt"/>
            </w:pict>
          </mc:Fallback>
        </mc:AlternateContent>
      </w:r>
      <w:r>
        <w:rPr>
          <w:noProof/>
        </w:rPr>
        <mc:AlternateContent>
          <mc:Choice Requires="wps">
            <w:drawing>
              <wp:anchor distT="0" distB="0" distL="114300" distR="114300" simplePos="0" relativeHeight="251669504" behindDoc="0" locked="0" layoutInCell="1" allowOverlap="1" wp14:anchorId="5574C8E4" wp14:editId="7C4BA732">
                <wp:simplePos x="0" y="0"/>
                <wp:positionH relativeFrom="column">
                  <wp:posOffset>3147695</wp:posOffset>
                </wp:positionH>
                <wp:positionV relativeFrom="paragraph">
                  <wp:posOffset>2732405</wp:posOffset>
                </wp:positionV>
                <wp:extent cx="392430" cy="306070"/>
                <wp:effectExtent l="0" t="0" r="26670" b="17780"/>
                <wp:wrapNone/>
                <wp:docPr id="12"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430" cy="306070"/>
                        </a:xfrm>
                        <a:prstGeom prst="ellipse">
                          <a:avLst/>
                        </a:prstGeom>
                        <a:noFill/>
                        <a:ln w="1587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2019872" id="Oval 12" o:spid="_x0000_s1026" style="position:absolute;margin-left:247.85pt;margin-top:215.15pt;width:30.9pt;height:24.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IiNcwIAAO4EAAAOAAAAZHJzL2Uyb0RvYy54bWysVM2O2yAQvlfqOyDuWduJ82ets1rZSVWp&#10;7a607QMQwDEqBgokzrbqu3fASZrtXqqqPuAZZhjmm/mG27tjJ9GBWye0KnF2k2LEFdVMqF2Jv3ze&#10;jBYYOU8UI1IrXuJn7vDd6u2b294UfKxbLRm3CIIoV/SmxK33pkgSR1veEXejDVdgbLTtiAfV7hJm&#10;SQ/RO5mM03SW9NoyYzXlzsFuPRjxKsZvGk79Q9M47pEsMeTm42rjug1rsrolxc4S0wp6SoP8QxYd&#10;EQouvYSqiSdob8WrUJ2gVjvd+Buqu0Q3jaA8YgA0WfoHmqeWGB6xQHGcuZTJ/b+w9NPh0SLBoHdj&#10;jBTpoEcPByIRqFCb3rgCXJ7Mow3onPmg6VeHlK5aonb83lrdt5wwyCgL/smLA0FxcBRt+4+aQWSy&#10;9zqW6djYLgSEAqBj7MbzpRv86BGFzclynE+gZxRMk3SWzmO3ElKcDxvr/DuuOxSEEnMphXGhXqQg&#10;hw/Oh3xIcfYK20pvhJSx51KhHpKeLubTeMJpKViwRpx2t62kRVCIEldp+CI6qMC1m9V7xWK0UIP1&#10;SfZEyEGG26UK8QAS5HOSBl78WKbL9WK9yEf5eLYe5Wldj+43VT6abbL5tJ7UVVVnP0NqWV60gjGu&#10;QnZnjmb533HgNC0Duy4sfYHCXYPdxO812ORlGrGygOr8j+hi80O/B95sNXuG3ls9DB08EiC02n7H&#10;qIeBK7H7tieWYyTfK+DPMsvzMKFRyafzMSj22rK9thBFIVSJPUaDWPlhqvfGil0LN2WxrUrfA+ca&#10;EckQ+DhkdWIqDFVEcHoAwtRe69Hr9zO1+gUAAP//AwBQSwMEFAAGAAgAAAAhADOdLrbfAAAACwEA&#10;AA8AAABkcnMvZG93bnJldi54bWxMjz1PwzAQhnck/oN1SGzUhtZ1SeNUCImJidCFzY1NkhLbwR9p&#10;6K/nmOh2H4/ee67czXYgkwmx907C/YIBMa7xunethP37y90GSEzKaTV4ZyT8mAi76vqqVIX2J/dm&#10;pjq1BENcLJSELqWxoDQ2nbEqLvxoHO4+fbAqYRtaqoM6Ybgd6ANja2pV7/BCp0bz3Jnmq85WQhbc&#10;rnMd9Gs+sg9R78+r6fss5e3N/LQFksyc/mH400d1qNDp4LPTkQwSVo9cIIrFki2BIMG54EAOOBEb&#10;DrQq6eUP1S8AAAD//wMAUEsBAi0AFAAGAAgAAAAhALaDOJL+AAAA4QEAABMAAAAAAAAAAAAAAAAA&#10;AAAAAFtDb250ZW50X1R5cGVzXS54bWxQSwECLQAUAAYACAAAACEAOP0h/9YAAACUAQAACwAAAAAA&#10;AAAAAAAAAAAvAQAAX3JlbHMvLnJlbHNQSwECLQAUAAYACAAAACEAqUiIjXMCAADuBAAADgAAAAAA&#10;AAAAAAAAAAAuAgAAZHJzL2Uyb0RvYy54bWxQSwECLQAUAAYACAAAACEAM50utt8AAAALAQAADwAA&#10;AAAAAAAAAAAAAADNBAAAZHJzL2Rvd25yZXYueG1sUEsFBgAAAAAEAAQA8wAAANkFAAAAAA==&#10;" filled="f" strokecolor="#c00000" strokeweight="1.25pt"/>
            </w:pict>
          </mc:Fallback>
        </mc:AlternateContent>
      </w:r>
      <w:r>
        <w:rPr>
          <w:noProof/>
        </w:rPr>
        <mc:AlternateContent>
          <mc:Choice Requires="wps">
            <w:drawing>
              <wp:anchor distT="0" distB="0" distL="114300" distR="114300" simplePos="0" relativeHeight="251671552" behindDoc="0" locked="0" layoutInCell="1" allowOverlap="1" wp14:anchorId="7D5A173B" wp14:editId="043A2C32">
                <wp:simplePos x="0" y="0"/>
                <wp:positionH relativeFrom="column">
                  <wp:posOffset>2873375</wp:posOffset>
                </wp:positionH>
                <wp:positionV relativeFrom="paragraph">
                  <wp:posOffset>3061970</wp:posOffset>
                </wp:positionV>
                <wp:extent cx="313690" cy="305435"/>
                <wp:effectExtent l="0" t="0" r="10160" b="18415"/>
                <wp:wrapNone/>
                <wp:docPr id="13"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690" cy="305435"/>
                        </a:xfrm>
                        <a:prstGeom prst="ellipse">
                          <a:avLst/>
                        </a:prstGeom>
                        <a:noFill/>
                        <a:ln w="1587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7FF1B77" id="Oval 13" o:spid="_x0000_s1026" style="position:absolute;margin-left:226.25pt;margin-top:241.1pt;width:24.7pt;height:24.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ux8cgIAAO4EAAAOAAAAZHJzL2Uyb0RvYy54bWysVF9v2yAQf5+074B4T20nTppYcarKTqZJ&#10;3Vqp2wcgGMdoGBiQON3U774DO1myvkzT/IDvuOP4/e4Py7tjK9CBGcuVzHFyE2PEJFUVl7scf/2y&#10;Gc0xso7IigglWY5fmMV3q/fvlp3O2Fg1SlTMIAgibdbpHDfO6SyKLG1YS+yN0kyCsVamJQ5Us4sq&#10;QzqI3opoHMezqFOm0kZRZi3slr0Rr0L8umbUPda1ZQ6JHAM2F1YT1q1fo9WSZDtDdMPpAIP8A4qW&#10;cAmXnkOVxBG0N/xNqJZTo6yq3Q1VbaTqmlMWOACbJP6DzXNDNAtcIDlWn9Nk/19Y+vnwZBCvoHYT&#10;jCRpoUaPByIQqJCbTtsMXJ71k/HsrH5Q9JtFUhUNkTt2b4zqGkYqQJR4/+jqgFcsHEXb7pOqIDLZ&#10;OxXSdKxN6wNCAtAxVOPlXA12dIjC5iSZzBZQMwqmSTxNJ9NwA8lOh7Wx7gNTLfJCjpkQXFufL5KR&#10;w4N1Hg/JTl5+W6oNFyLUXEjUAejp/HYaTlgleOWtgafZbQthECQix0Xsv+HuKzej9rIK0XwO1oPs&#10;CBe9DLcL6eMBJcAzSH1f/FzEi/V8PU9H6Xi2HqVxWY7uN0U6mm2S22k5KYuiTF49tCTNGl5VTHp0&#10;px5N0r/rgWFa+u46d+kVC3tJdhO+t2Sjaxghs8Dq9A/sQvF9vfu+2arqBWpvVD908EiA0CjzA6MO&#10;Bi7H9vueGIaR+CihfxZJmvoJDUo6vR2DYi4t20sLkRRC5dhh1IuF66d6rw3fNXBTEsoq1T30XM1D&#10;M/h+7FENnQpDFRgMD4Cf2ks9eP1+pla/AAAA//8DAFBLAwQUAAYACAAAACEAo/BmlN8AAAALAQAA&#10;DwAAAGRycy9kb3ducmV2LnhtbEyPPU/DMBCGdyT+g3VIbNRu2rQlxKkQEhMToQubGx9JILaDP9LQ&#10;X88x0e093aP3niv3sxnYhD70zkpYLgQwtI3TvW0lHN6e73bAQlRWq8FZlPCDAfbV9VWpCu1O9hWn&#10;OraMSmwolIQuxrHgPDQdGhUWbkRLuw/njYo0+pZrr05UbgaeCbHhRvWWLnRqxKcOm686GQlpm5tN&#10;qr1+SZ/ifVsfzuvp+yzl7c38+AAs4hz/YfjTJ3WoyOnoktWBDRLWeZYTSmGXZcCIyMXyHtiRwkqs&#10;gFclv/yh+gUAAP//AwBQSwECLQAUAAYACAAAACEAtoM4kv4AAADhAQAAEwAAAAAAAAAAAAAAAAAA&#10;AAAAW0NvbnRlbnRfVHlwZXNdLnhtbFBLAQItABQABgAIAAAAIQA4/SH/1gAAAJQBAAALAAAAAAAA&#10;AAAAAAAAAC8BAABfcmVscy8ucmVsc1BLAQItABQABgAIAAAAIQBCFux8cgIAAO4EAAAOAAAAAAAA&#10;AAAAAAAAAC4CAABkcnMvZTJvRG9jLnhtbFBLAQItABQABgAIAAAAIQCj8GaU3wAAAAsBAAAPAAAA&#10;AAAAAAAAAAAAAMwEAABkcnMvZG93bnJldi54bWxQSwUGAAAAAAQABADzAAAA2AUAAAAA&#10;" filled="f" strokecolor="#c00000" strokeweight="1.25pt"/>
            </w:pict>
          </mc:Fallback>
        </mc:AlternateContent>
      </w:r>
      <w:r>
        <w:rPr>
          <w:noProof/>
        </w:rPr>
        <mc:AlternateContent>
          <mc:Choice Requires="wps">
            <w:drawing>
              <wp:anchor distT="0" distB="0" distL="114300" distR="114300" simplePos="0" relativeHeight="251673600" behindDoc="0" locked="0" layoutInCell="1" allowOverlap="1" wp14:anchorId="46BE3415" wp14:editId="09E0F322">
                <wp:simplePos x="0" y="0"/>
                <wp:positionH relativeFrom="column">
                  <wp:posOffset>2471420</wp:posOffset>
                </wp:positionH>
                <wp:positionV relativeFrom="paragraph">
                  <wp:posOffset>2094865</wp:posOffset>
                </wp:positionV>
                <wp:extent cx="785495" cy="523240"/>
                <wp:effectExtent l="0" t="0" r="14605" b="10160"/>
                <wp:wrapNone/>
                <wp:docPr id="8"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5495" cy="523240"/>
                        </a:xfrm>
                        <a:prstGeom prst="ellipse">
                          <a:avLst/>
                        </a:prstGeom>
                        <a:noFill/>
                        <a:ln w="1587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A9F66E4" id="Oval 8" o:spid="_x0000_s1026" style="position:absolute;margin-left:194.6pt;margin-top:164.95pt;width:61.85pt;height:41.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jecgIAAOwEAAAOAAAAZHJzL2Uyb0RvYy54bWysVFFv2yAQfp+0/4B4T22ndpNYdarKTqZJ&#10;21qp2w8ggGM0DAxInG7af9+BkyxdX6ZpfsAHB8d9933H7d2hl2jPrRNaVTi7SjHiimom1LbCXz6v&#10;J3OMnCeKEakVr/Azd/hu+fbN7WBKPtWdloxbBEGUKwdT4c57UyaJox3vibvShitwttr2xMPUbhNm&#10;yQDRe5lM0/QmGbRlxmrKnYPVZnTiZYzftpz6h7Z13CNZYcjNx9HGcRPGZHlLyq0lphP0mAb5hyx6&#10;IhRceg7VEE/QzopXoXpBrXa69VdU94luW0F5xABosvQPNE8dMTxigeI4cy6T+39h6af9o0WCVRiI&#10;UqQHih72RKJ5qMxgXAkbnsyjDdic+aDpV4eUrjuitvzeWj10nDDIJwv7kxcHwsTBUbQZPmoGgcnO&#10;61ikQ2v7EBDgo0Pk4vnMBT94RGFxNi/yRYERBVcxvZ7mkauElKfDxjr/juseBaPCXEphXKgWKcn+&#10;g/MhH1KedoVlpddCysi4VGiApIv5rIgnnJaCBW/EabebWloEdahwnYYvooMKXG6zeqdYjBZqsDra&#10;ngg52nC7VCEeQIJ8jtaoih+LdLGar+b5JJ/erCZ52jST+3WdT27W2axorpu6brKfIbUsLzvBGFch&#10;u5NCs/zvFHDslVFbZ42+QOEuwa7j9xps8jKNWFlAdfpHdJH8wPeom41mz8C91WPLwRMBRqftd4wG&#10;aLcKu287YjlG8r0C/SyyHBhGPk7yYjaFib30bC49RFEIVWGP0WjWfuzpnbFi28FNWaRV6XvQXCui&#10;GIIex6yOSoWWigiO7R969nIed/1+pJa/AAAA//8DAFBLAwQUAAYACAAAACEA3MDYM98AAAALAQAA&#10;DwAAAGRycy9kb3ducmV2LnhtbEyPPU/DMBCGdyT+g3VIbNSJ+5kQp0JITEwNXdjc2CSB+BxiOw39&#10;9Vwn2N7TPXrvuWI/255NZvSdQwnpIgFmsHa6w0bC8e3lYQfMB4Va9Q6NhB/jYV/e3hQq1+6MBzNV&#10;oWFUgj5XEtoQhpxzX7fGKr9wg0HafbjRqkDj2HA9qjOV256LJNlwqzqkC60azHNr6q8qWglxu7ab&#10;WI36NX4m79vqeFlN3xcp7+/mp0dgwczhD4arPqlDSU4nF1F71ktY7jJBKAWRZcCIWKeCwknCKhVL&#10;4GXB//9Q/gIAAP//AwBQSwECLQAUAAYACAAAACEAtoM4kv4AAADhAQAAEwAAAAAAAAAAAAAAAAAA&#10;AAAAW0NvbnRlbnRfVHlwZXNdLnhtbFBLAQItABQABgAIAAAAIQA4/SH/1gAAAJQBAAALAAAAAAAA&#10;AAAAAAAAAC8BAABfcmVscy8ucmVsc1BLAQItABQABgAIAAAAIQA/H0jecgIAAOwEAAAOAAAAAAAA&#10;AAAAAAAAAC4CAABkcnMvZTJvRG9jLnhtbFBLAQItABQABgAIAAAAIQDcwNgz3wAAAAsBAAAPAAAA&#10;AAAAAAAAAAAAAMwEAABkcnMvZG93bnJldi54bWxQSwUGAAAAAAQABADzAAAA2AUAAAAA&#10;" filled="f" strokecolor="#c00000" strokeweight="1.25pt"/>
            </w:pict>
          </mc:Fallback>
        </mc:AlternateContent>
      </w:r>
      <w:r>
        <w:rPr>
          <w:noProof/>
        </w:rPr>
        <mc:AlternateContent>
          <mc:Choice Requires="wps">
            <w:drawing>
              <wp:anchor distT="0" distB="0" distL="114300" distR="114300" simplePos="0" relativeHeight="251667456" behindDoc="0" locked="0" layoutInCell="1" allowOverlap="1" wp14:anchorId="15DC093D" wp14:editId="355B313E">
                <wp:simplePos x="0" y="0"/>
                <wp:positionH relativeFrom="column">
                  <wp:posOffset>1314450</wp:posOffset>
                </wp:positionH>
                <wp:positionV relativeFrom="paragraph">
                  <wp:posOffset>1778000</wp:posOffset>
                </wp:positionV>
                <wp:extent cx="694055" cy="362585"/>
                <wp:effectExtent l="0" t="0" r="10795" b="18415"/>
                <wp:wrapNone/>
                <wp:docPr id="14"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055" cy="362585"/>
                        </a:xfrm>
                        <a:prstGeom prst="ellipse">
                          <a:avLst/>
                        </a:prstGeom>
                        <a:noFill/>
                        <a:ln w="1587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6CCA5DDE" id="Oval 14" o:spid="_x0000_s1026" style="position:absolute;margin-left:103.5pt;margin-top:140pt;width:54.65pt;height:28.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DmKcgIAAO4EAAAOAAAAZHJzL2Uyb0RvYy54bWysVFFv2yAQfp+0/4B4T22ndppYdarKTqZJ&#10;3Vqp2w8gBsdoGBiQON3U/74DO1myvkzT/IDvuOO47+47bu8OnUB7ZixXssDJVYwRk7WiXG4L/PXL&#10;ejLHyDoiKRFKsgK/MIvvlu/f3fY6Z1PVKkGZQRBE2rzXBW6d03kU2bplHbFXSjMJxkaZjjhQzTai&#10;hvQQvRPRNI5nUa8M1UbVzFrYrQYjXob4TcNq99g0ljkkCgy5ubCasG78Gi1vSb41RLe8HtMg/5BF&#10;R7iES0+hKuII2hn+JlTHa6OsatxVrbpINQ2vWcAAaJL4DzTPLdEsYIHiWH0qk/1/YevP+yeDOIXe&#10;pRhJ0kGPHvdEIFChNr22Obg86yfj0Vn9oOpvFklVtkRu2b0xqm8ZoZBR4v2jiwNesXAUbfpPikJk&#10;snMqlOnQmM4HhAKgQ+jGy6kb7OBQDZuzRRpnGUY1mK5n02yehRtIfjysjXUfmOqQFwrMhODa+nqR&#10;nOwfrPP5kPzo5belWnMhQs+FRD0knc1vsnDCKsGptwacZrsphUFQiAKXsf/Guy/cjNpJGqL5GqxG&#10;2REuBhluF9LHA0iQzygNvPi5iBer+WqeTtLpbDVJ46qa3K/LdDJbJzdZdV2VZZW8+tSSNG85pUz6&#10;7I4cTdK/48A4LQO7Tiy9QGHPwa7D9xZsdJlGqCygOv4DutB83++BNxtFX6D3Rg1DB48ECK0yPzDq&#10;YeAKbL/viGEYiY8S+LNI0tRPaFDS7GYKijm3bM4tRNYQqsAOo0Es3TDVO234toWbktBWqe6Bcw0P&#10;ZPB8HLIamQpDFRCMD4Cf2nM9eP1+ppa/AAAA//8DAFBLAwQUAAYACAAAACEAQFZLyN4AAAALAQAA&#10;DwAAAGRycy9kb3ducmV2LnhtbEyPvU7EMBCEeyTewVokOs7OBZJTiHNCSFRUhGvofPGSBGI7+CcX&#10;7ulZKui+0Y5mZ+r9aia2oA+jsxKyjQCGtnN6tL2Ew+vTzQ5YiMpqNTmLEr4xwL65vKhVpd3JvuDS&#10;xp5RiA2VkjDEOFech25Ao8LGzWjp9u68UZGk77n26kThZuJbIQpu1Gjpw6BmfByw+2yTkZDKO1Ok&#10;1uvn9CHeyvZwvl2+zlJeX60P98AirvHPDL/1qTo01OnoktWBTRK2oqQtkWAnCMiRZ0UO7EiQlxnw&#10;pub/NzQ/AAAA//8DAFBLAQItABQABgAIAAAAIQC2gziS/gAAAOEBAAATAAAAAAAAAAAAAAAAAAAA&#10;AABbQ29udGVudF9UeXBlc10ueG1sUEsBAi0AFAAGAAgAAAAhADj9If/WAAAAlAEAAAsAAAAAAAAA&#10;AAAAAAAALwEAAF9yZWxzLy5yZWxzUEsBAi0AFAAGAAgAAAAhALVYOYpyAgAA7gQAAA4AAAAAAAAA&#10;AAAAAAAALgIAAGRycy9lMm9Eb2MueG1sUEsBAi0AFAAGAAgAAAAhAEBWS8jeAAAACwEAAA8AAAAA&#10;AAAAAAAAAAAAzAQAAGRycy9kb3ducmV2LnhtbFBLBQYAAAAABAAEAPMAAADXBQAAAAA=&#10;" filled="f" strokecolor="#c00000" strokeweight="1.25pt"/>
            </w:pict>
          </mc:Fallback>
        </mc:AlternateContent>
      </w:r>
      <w:r w:rsidR="0084709A">
        <w:rPr>
          <w:noProof/>
        </w:rPr>
        <w:drawing>
          <wp:inline distT="0" distB="0" distL="0" distR="0" wp14:anchorId="067CE753" wp14:editId="00C31FCA">
            <wp:extent cx="3314700" cy="3933825"/>
            <wp:effectExtent l="0" t="0" r="0" b="9525"/>
            <wp:docPr id="194" name="Picture 0" descr="CARB_map.gif"/>
            <wp:cNvGraphicFramePr/>
            <a:graphic xmlns:a="http://schemas.openxmlformats.org/drawingml/2006/main">
              <a:graphicData uri="http://schemas.openxmlformats.org/drawingml/2006/picture">
                <pic:pic xmlns:pic="http://schemas.openxmlformats.org/drawingml/2006/picture">
                  <pic:nvPicPr>
                    <pic:cNvPr id="1" name="Picture 0" descr="CARB_map.gif"/>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14700" cy="3933825"/>
                    </a:xfrm>
                    <a:prstGeom prst="rect">
                      <a:avLst/>
                    </a:prstGeom>
                    <a:noFill/>
                    <a:ln>
                      <a:noFill/>
                    </a:ln>
                  </pic:spPr>
                </pic:pic>
              </a:graphicData>
            </a:graphic>
          </wp:inline>
        </w:drawing>
      </w:r>
    </w:p>
    <w:p w:rsidR="0084709A" w:rsidRDefault="0084709A" w:rsidP="0084709A">
      <w:pPr>
        <w:rPr>
          <w:rFonts w:asciiTheme="minorHAnsi" w:hAnsiTheme="minorHAnsi"/>
          <w:sz w:val="22"/>
        </w:rPr>
      </w:pPr>
    </w:p>
    <w:p w:rsidR="0084709A" w:rsidRDefault="00B31F10" w:rsidP="00B31F10">
      <w:pPr>
        <w:pStyle w:val="Heading3"/>
        <w:rPr>
          <w:szCs w:val="22"/>
        </w:rPr>
      </w:pPr>
      <w:bookmarkStart w:id="150" w:name="_Toc459899005"/>
      <w:bookmarkStart w:id="151" w:name="_Toc461020963"/>
      <w:bookmarkStart w:id="152" w:name="_Toc461025627"/>
      <w:bookmarkStart w:id="153" w:name="_Toc461025836"/>
      <w:bookmarkStart w:id="154" w:name="_Toc461027106"/>
      <w:r>
        <w:t>2</w:t>
      </w:r>
      <w:r w:rsidR="0084709A">
        <w:t>.4.3</w:t>
      </w:r>
      <w:r w:rsidR="0084709A">
        <w:tab/>
      </w:r>
      <w:r w:rsidR="0084709A">
        <w:tab/>
        <w:t>Emissions Reduction Benefit</w:t>
      </w:r>
      <w:bookmarkEnd w:id="150"/>
      <w:bookmarkEnd w:id="151"/>
      <w:bookmarkEnd w:id="152"/>
      <w:bookmarkEnd w:id="153"/>
      <w:bookmarkEnd w:id="154"/>
    </w:p>
    <w:p w:rsidR="0084709A" w:rsidRDefault="0084709A" w:rsidP="0084709A">
      <w:pPr>
        <w:pStyle w:val="NoSpacing"/>
        <w:spacing w:after="120"/>
        <w:ind w:left="360"/>
        <w:jc w:val="both"/>
        <w:rPr>
          <w:rFonts w:asciiTheme="minorHAnsi" w:hAnsiTheme="minorHAnsi"/>
        </w:rPr>
      </w:pPr>
      <w:r>
        <w:rPr>
          <w:rFonts w:asciiTheme="minorHAnsi" w:hAnsiTheme="minorHAnsi"/>
        </w:rPr>
        <w:t>For its proposed SCM CARB performed an emissions reduction estimate based on 2004 sales survey data from California.  CARB estimates that its proposed SCM will result in a 28% VOC emissions reduction in the architectural coatings sector in areas of California covered by the SCM.  Ninety-five percent of these VOC reductions result from more stringent limits on the nine largest coating categories (flat; non-flat; non-flat high gloss; concrete/masonry sealer; dry fog; primer/sealer/undercoater; rust preventative; specialty primer/sealer/undercoater; and w</w:t>
      </w:r>
      <w:r w:rsidR="0060782B">
        <w:rPr>
          <w:noProof/>
        </w:rPr>
        <mc:AlternateContent>
          <mc:Choice Requires="wps">
            <w:drawing>
              <wp:anchor distT="0" distB="0" distL="114300" distR="114300" simplePos="0" relativeHeight="251716608" behindDoc="0" locked="1" layoutInCell="1" allowOverlap="0" wp14:anchorId="37F0C09B" wp14:editId="2A19CA42">
                <wp:simplePos x="0" y="0"/>
                <wp:positionH relativeFrom="margin">
                  <wp:posOffset>2781300</wp:posOffset>
                </wp:positionH>
                <wp:positionV relativeFrom="bottomMargin">
                  <wp:posOffset>198120</wp:posOffset>
                </wp:positionV>
                <wp:extent cx="914400" cy="237490"/>
                <wp:effectExtent l="0" t="0" r="0" b="0"/>
                <wp:wrapNone/>
                <wp:docPr id="19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237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782B" w:rsidRDefault="0060782B" w:rsidP="0060782B">
                            <w:pPr>
                              <w:ind w:right="60"/>
                              <w:rPr>
                                <w:rFonts w:asciiTheme="minorHAnsi" w:hAnsiTheme="minorHAnsi"/>
                                <w:sz w:val="20"/>
                                <w:szCs w:val="20"/>
                              </w:rPr>
                            </w:pPr>
                            <w:hyperlink w:anchor="TOC" w:history="1">
                              <w:r>
                                <w:rPr>
                                  <w:rStyle w:val="Hyperlink"/>
                                  <w:sz w:val="20"/>
                                  <w:szCs w:val="20"/>
                                </w:rPr>
                                <w:t>Back to TOC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0C09B" id="Text Box 195" o:spid="_x0000_s1045" type="#_x0000_t202" style="position:absolute;left:0;text-align:left;margin-left:219pt;margin-top:15.6pt;width:1in;height:18.7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0zNmAIAAK4FAAAOAAAAZHJzL2Uyb0RvYy54bWysVFFPGzEMfp+0/xDlfVxbCowTV9SBmCZV&#10;gAYTz2kuoRFJnCVp77pfj5O7K4XxwrSXOyf+bMf2Z5+dt0aTjfBBga3o+GBEibAcamUfK/rr/urL&#10;V0pCZLZmGqyo6FYEej77/OmscaWYwAp0LTxBJzaUjavoKkZXFkXgK2FYOAAnLColeMMiHv1jUXvW&#10;oHeji8lodFw04GvngYsQ8PayU9JZ9i+l4PFGyiAi0RXFt8X89fm7TN9idsbKR8/cSvH+GewfXmGY&#10;shh05+qSRUbWXv3lyijuIYCMBxxMAVIqLnIOmM149CabuxVzIueCxQluV6bw/9zy682tJ6rG3p0e&#10;UWKZwSbdizaSb9CSdIcValwoEXjnEBpbVCA6ZxvcAvhTQEixh+kMAqJTRVrpTfpjrgQNsQnbXeFT&#10;HI6Xp+PpdIQajqrJ4cn0NDemeDF2PsTvAgxJQkU99jU/gG0WIabwrBwgKVYAreorpXU+JC6JC+3J&#10;hiELdBynnNDiFUpb0lT0+PBolB1bSOYdTtvkRmQ29eFStl2CWYpbLRJG259CYjVznu/EZpwLu4uf&#10;0QklMdRHDHv8y6s+YtzlgRY5Mti4MzbKgu/6+rpk9dNQMtnh+36HLu9Ugtgu20yjyeHAmCXUWySM&#10;h27oguNXCru3YCHeMo9Thg3HzRFv8CM1YPWhlyhZgf/z3n3CI/lRS0mDU1vR8HvNvKBE/7A4FplI&#10;OOb5MD06mWAMv69Z7mvs2lwAUmKMO8rxLCZ81IMoPZgHXDDzFBVVzHKMXdE4iBex2yW4oLiYzzMI&#10;B9uxuLB3jg9zkrh53z4w73oCR2T+NQzzzco3PO6wqUEW5usIUmWSp0J3Ve0bgEshM7lfYGnr7J8z&#10;6mXNzp4BAAD//wMAUEsDBBQABgAIAAAAIQA4E21V4AAAAAkBAAAPAAAAZHJzL2Rvd25yZXYueG1s&#10;TI/BTsMwEETvSPyDtUhcKuokhSgK2VQIUak99NDApTc3XpKIeB3Zbhv+HnOC4+yMZt9U69mM4kLO&#10;D5YR0mUCgri1euAO4eN981CA8EGxVqNlQvgmD+v69qZSpbZXPtClCZ2IJexLhdCHMJVS+rYno/zS&#10;TsTR+7TOqBCl66R26hrLzSizJMmlUQPHD72a6LWn9qs5G4S9P24XR7fdLBqv5Y5o/7ZLA+L93fzy&#10;DCLQHP7C8Isf0aGOTCd7Zu3FiPC4KuKWgLBKMxAx8FRk8XBCyIscZF3J/wvqHwAAAP//AwBQSwEC&#10;LQAUAAYACAAAACEAtoM4kv4AAADhAQAAEwAAAAAAAAAAAAAAAAAAAAAAW0NvbnRlbnRfVHlwZXNd&#10;LnhtbFBLAQItABQABgAIAAAAIQA4/SH/1gAAAJQBAAALAAAAAAAAAAAAAAAAAC8BAABfcmVscy8u&#10;cmVsc1BLAQItABQABgAIAAAAIQDCm0zNmAIAAK4FAAAOAAAAAAAAAAAAAAAAAC4CAABkcnMvZTJv&#10;RG9jLnhtbFBLAQItABQABgAIAAAAIQA4E21V4AAAAAkBAAAPAAAAAAAAAAAAAAAAAPIEAABkcnMv&#10;ZG93bnJldi54bWxQSwUGAAAAAAQABADzAAAA/wUAAAAA&#10;" o:allowoverlap="f" fillcolor="white [3201]" stroked="f" strokeweight=".5pt">
                <v:path arrowok="t"/>
                <v:textbox>
                  <w:txbxContent>
                    <w:p w:rsidR="0060782B" w:rsidRDefault="0060782B" w:rsidP="0060782B">
                      <w:pPr>
                        <w:ind w:right="60"/>
                        <w:rPr>
                          <w:rFonts w:asciiTheme="minorHAnsi" w:hAnsiTheme="minorHAnsi"/>
                          <w:sz w:val="20"/>
                          <w:szCs w:val="20"/>
                        </w:rPr>
                      </w:pPr>
                      <w:hyperlink w:anchor="TOC" w:history="1">
                        <w:r>
                          <w:rPr>
                            <w:rStyle w:val="Hyperlink"/>
                            <w:sz w:val="20"/>
                            <w:szCs w:val="20"/>
                          </w:rPr>
                          <w:t>Back to TOC</w:t>
                        </w:r>
                      </w:hyperlink>
                    </w:p>
                  </w:txbxContent>
                </v:textbox>
                <w10:wrap anchorx="margin" anchory="margin"/>
                <w10:anchorlock/>
              </v:shape>
            </w:pict>
          </mc:Fallback>
        </mc:AlternateContent>
      </w:r>
      <w:r>
        <w:rPr>
          <w:rFonts w:asciiTheme="minorHAnsi" w:hAnsiTheme="minorHAnsi"/>
        </w:rPr>
        <w:t>ood coatings).</w:t>
      </w:r>
    </w:p>
    <w:p w:rsidR="0084709A" w:rsidRDefault="0084709A" w:rsidP="0084709A">
      <w:pPr>
        <w:pStyle w:val="NoSpacing"/>
        <w:spacing w:after="120"/>
        <w:ind w:left="360"/>
        <w:jc w:val="both"/>
        <w:rPr>
          <w:rFonts w:asciiTheme="minorHAnsi" w:hAnsiTheme="minorHAnsi"/>
        </w:rPr>
      </w:pPr>
      <w:r>
        <w:rPr>
          <w:rFonts w:asciiTheme="minorHAnsi" w:hAnsiTheme="minorHAnsi"/>
        </w:rPr>
        <w:lastRenderedPageBreak/>
        <w:t>The 28% VOC emissions reduction predicted by CARB equates to a reduction of 15.2 tons of VOC per day in California.  By assuming a similar per-capita reduction, the adoption of these VOC limits throughout the OTR would yield reductions of approximately 50.3 tpd.</w:t>
      </w:r>
    </w:p>
    <w:p w:rsidR="0084709A" w:rsidRDefault="0084709A" w:rsidP="0084709A">
      <w:pPr>
        <w:pStyle w:val="NoSpacing"/>
        <w:spacing w:after="120"/>
        <w:ind w:left="360"/>
        <w:jc w:val="both"/>
        <w:rPr>
          <w:rFonts w:asciiTheme="minorHAnsi" w:hAnsiTheme="minorHAnsi"/>
        </w:rPr>
      </w:pPr>
      <w:r>
        <w:rPr>
          <w:rFonts w:asciiTheme="minorHAnsi" w:hAnsiTheme="minorHAnsi"/>
        </w:rPr>
        <w:t xml:space="preserve">In addition to the limits in the 2007 CARB SCM, the OTC model rule also includes a more stringent VOC limit for the Industrial Maintenance (IM) coating category that was included in the 2000 CARB SCM.  The 2000 CARB SCM proposed a limit of 250 g/L with an optional limit of 340 g/L for colder climates.  The 2002 OTC model rule included the 340 g/l due to concerns about the ability to comply in the colder Northeast climate.  Because of the success in implementing the revised limit throughout California and the advent of t-butyl acetate as a delisted solvent, </w:t>
      </w:r>
      <w:r>
        <w:rPr>
          <w:rFonts w:asciiTheme="minorHAnsi" w:hAnsiTheme="minorHAnsi"/>
          <w:color w:val="000000"/>
        </w:rPr>
        <w:t xml:space="preserve">OTC believes a 250 g/L VOC limit is now feasible and has included this new lowered limit in its proposed new AIM model rule. </w:t>
      </w:r>
    </w:p>
    <w:p w:rsidR="0084709A" w:rsidRDefault="0084709A" w:rsidP="0084709A">
      <w:pPr>
        <w:pStyle w:val="NoSpacing"/>
        <w:spacing w:after="120"/>
        <w:ind w:left="360"/>
        <w:jc w:val="both"/>
        <w:rPr>
          <w:rFonts w:asciiTheme="minorHAnsi" w:hAnsiTheme="minorHAnsi"/>
        </w:rPr>
      </w:pPr>
      <w:r>
        <w:rPr>
          <w:rFonts w:asciiTheme="minorHAnsi" w:hAnsiTheme="minorHAnsi"/>
        </w:rPr>
        <w:t>Considering the variations in the OTC model rule from the 2007 CARB SCM, including the lowered industrial maintenance coating reduction, OTR specific percent reductions in the architectural and industrial maintenance coating sector were calculated based on the CARB data.  This resulted in the following reductions for the OTC model rule:</w:t>
      </w:r>
    </w:p>
    <w:p w:rsidR="0084709A" w:rsidRDefault="0084709A" w:rsidP="0084709A">
      <w:pPr>
        <w:pStyle w:val="NoSpacing"/>
        <w:ind w:left="864"/>
        <w:rPr>
          <w:rFonts w:asciiTheme="minorHAnsi" w:hAnsiTheme="minorHAnsi"/>
        </w:rPr>
      </w:pPr>
      <w:r>
        <w:rPr>
          <w:rFonts w:asciiTheme="minorHAnsi" w:hAnsiTheme="minorHAnsi"/>
        </w:rPr>
        <w:t>Flat, Non Flat % Reduction = 32.4%</w:t>
      </w:r>
    </w:p>
    <w:p w:rsidR="0084709A" w:rsidRDefault="0084709A" w:rsidP="0084709A">
      <w:pPr>
        <w:pStyle w:val="NoSpacing"/>
        <w:ind w:left="864"/>
        <w:rPr>
          <w:rFonts w:asciiTheme="minorHAnsi" w:hAnsiTheme="minorHAnsi"/>
        </w:rPr>
      </w:pPr>
      <w:r>
        <w:rPr>
          <w:rFonts w:asciiTheme="minorHAnsi" w:hAnsiTheme="minorHAnsi"/>
        </w:rPr>
        <w:t>Traffic Marking % Reduction = 9.7%</w:t>
      </w:r>
    </w:p>
    <w:p w:rsidR="0084709A" w:rsidRDefault="0084709A" w:rsidP="0084709A">
      <w:pPr>
        <w:pStyle w:val="NoSpacing"/>
        <w:ind w:left="864"/>
        <w:rPr>
          <w:rFonts w:asciiTheme="minorHAnsi" w:hAnsiTheme="minorHAnsi"/>
        </w:rPr>
      </w:pPr>
      <w:r>
        <w:rPr>
          <w:rFonts w:asciiTheme="minorHAnsi" w:hAnsiTheme="minorHAnsi"/>
        </w:rPr>
        <w:t>Industrial Maintenance % Reduction = 38%</w:t>
      </w:r>
    </w:p>
    <w:p w:rsidR="0084709A" w:rsidRDefault="0084709A" w:rsidP="0084709A">
      <w:pPr>
        <w:pStyle w:val="NoSpacing"/>
        <w:ind w:left="864"/>
        <w:rPr>
          <w:rFonts w:asciiTheme="minorHAnsi" w:hAnsiTheme="minorHAnsi"/>
        </w:rPr>
      </w:pPr>
      <w:r>
        <w:rPr>
          <w:rFonts w:asciiTheme="minorHAnsi" w:hAnsiTheme="minorHAnsi"/>
        </w:rPr>
        <w:t>Other Specialty Coatings % Reduction = 34.3%</w:t>
      </w:r>
    </w:p>
    <w:p w:rsidR="0084709A" w:rsidRDefault="0084709A" w:rsidP="0084709A">
      <w:pPr>
        <w:pStyle w:val="NoSpacing"/>
        <w:ind w:left="864"/>
        <w:rPr>
          <w:rFonts w:asciiTheme="minorHAnsi" w:hAnsiTheme="minorHAnsi"/>
        </w:rPr>
      </w:pPr>
      <w:r>
        <w:rPr>
          <w:rFonts w:asciiTheme="minorHAnsi" w:hAnsiTheme="minorHAnsi"/>
        </w:rPr>
        <w:t>Overall AIM Coating % Reduction (including all above inventory categories) = 33.7%</w:t>
      </w:r>
    </w:p>
    <w:p w:rsidR="0084709A" w:rsidRDefault="0084709A" w:rsidP="0084709A">
      <w:pPr>
        <w:pStyle w:val="NoSpacing"/>
        <w:spacing w:before="200" w:after="200"/>
        <w:ind w:firstLine="288"/>
        <w:rPr>
          <w:rFonts w:asciiTheme="minorHAnsi" w:hAnsiTheme="minorHAnsi"/>
        </w:rPr>
      </w:pPr>
      <w:r>
        <w:rPr>
          <w:rFonts w:asciiTheme="minorHAnsi" w:hAnsiTheme="minorHAnsi"/>
        </w:rPr>
        <w:t xml:space="preserve">The calculations are provided in </w:t>
      </w:r>
      <w:r>
        <w:rPr>
          <w:rFonts w:asciiTheme="minorHAnsi" w:hAnsiTheme="minorHAnsi"/>
          <w:b/>
        </w:rPr>
        <w:t>Appendix A.</w:t>
      </w:r>
    </w:p>
    <w:p w:rsidR="0084709A" w:rsidRDefault="00B31F10" w:rsidP="00B31F10">
      <w:pPr>
        <w:pStyle w:val="Heading3"/>
      </w:pPr>
      <w:bookmarkStart w:id="155" w:name="_Toc459899006"/>
      <w:bookmarkStart w:id="156" w:name="_Ref456616431"/>
      <w:bookmarkStart w:id="157" w:name="_Toc461020964"/>
      <w:bookmarkStart w:id="158" w:name="_Toc461025628"/>
      <w:bookmarkStart w:id="159" w:name="_Toc461025837"/>
      <w:bookmarkStart w:id="160" w:name="_Toc461027107"/>
      <w:r>
        <w:t>2</w:t>
      </w:r>
      <w:r w:rsidR="0084709A">
        <w:t>.4.4</w:t>
      </w:r>
      <w:r>
        <w:tab/>
      </w:r>
      <w:r w:rsidR="0084709A">
        <w:tab/>
        <w:t>Control Cost Estimate</w:t>
      </w:r>
      <w:bookmarkEnd w:id="155"/>
      <w:bookmarkEnd w:id="156"/>
      <w:bookmarkEnd w:id="157"/>
      <w:bookmarkEnd w:id="158"/>
      <w:bookmarkEnd w:id="159"/>
      <w:bookmarkEnd w:id="160"/>
    </w:p>
    <w:p w:rsidR="0084709A" w:rsidRDefault="0084709A" w:rsidP="0084709A">
      <w:pPr>
        <w:pStyle w:val="NoSpacing"/>
        <w:spacing w:after="60"/>
        <w:ind w:left="360"/>
        <w:jc w:val="both"/>
        <w:rPr>
          <w:rFonts w:asciiTheme="minorHAnsi" w:hAnsiTheme="minorHAnsi"/>
        </w:rPr>
      </w:pPr>
      <w:r>
        <w:rPr>
          <w:rFonts w:asciiTheme="minorHAnsi" w:hAnsiTheme="minorHAnsi"/>
        </w:rPr>
        <w:t>For its proposed SCM, CARB did a study of affected businesses to determine the control costs that would be incurred.  CARB estimates a per-limit cost-effectiveness ranging from a net savings to $13.90 per pound of VOC reduced, with an overall cost-effectiveness of $1.12 per pound of VOC reduced (in 2007 dollars).  These values were based on the assumption that companies absorbed all costs (i.e. none were passed down to consumers) and may therefore be slightly inflated.  CARB computed an average 2.1% decline in return on owner’s return on equity (ROE—calculated by dividing net profit by net worth), and used this to gauge economic impact.  CARB felt that this should not significantly impact the profitability of most businesses, although it may have a serious impact on the smallest operations.  Overall, business profitability and job opportunities would not be significantly affected.</w:t>
      </w:r>
    </w:p>
    <w:p w:rsidR="0084709A" w:rsidRDefault="0084709A" w:rsidP="0084709A">
      <w:pPr>
        <w:pStyle w:val="NoSpacing"/>
        <w:spacing w:after="60"/>
        <w:ind w:left="360"/>
        <w:rPr>
          <w:rFonts w:asciiTheme="minorHAnsi" w:hAnsiTheme="minorHAnsi"/>
        </w:rPr>
      </w:pPr>
      <w:r>
        <w:rPr>
          <w:rFonts w:asciiTheme="minorHAnsi" w:hAnsiTheme="minorHAnsi"/>
        </w:rPr>
        <w:t xml:space="preserve">In addition to CARB’s estimated costs related to the 2007 SCM, companies that sell coatings in OTC states will incur costs associated with lowering the VOC limit of the IM coating category.  The 2000 CARB SCM calculated the cost-effectiveness of lowering the IM coating VOC limit from 340 g/L to 240 g/L to be $5.59 per pound of VOC reduced.  Since companies have already had to reformulate their IM coatings to comply with this standard in California, </w:t>
      </w:r>
      <w:r w:rsidR="0060782B">
        <w:rPr>
          <w:noProof/>
        </w:rPr>
        <mc:AlternateContent>
          <mc:Choice Requires="wps">
            <w:drawing>
              <wp:anchor distT="0" distB="0" distL="114300" distR="114300" simplePos="0" relativeHeight="251718656" behindDoc="0" locked="1" layoutInCell="1" allowOverlap="0" wp14:anchorId="37F0C09B" wp14:editId="2A19CA42">
                <wp:simplePos x="0" y="0"/>
                <wp:positionH relativeFrom="margin">
                  <wp:posOffset>2752725</wp:posOffset>
                </wp:positionH>
                <wp:positionV relativeFrom="bottomMargin">
                  <wp:posOffset>88265</wp:posOffset>
                </wp:positionV>
                <wp:extent cx="914400" cy="237490"/>
                <wp:effectExtent l="0" t="0" r="0" b="0"/>
                <wp:wrapNone/>
                <wp:docPr id="19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237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782B" w:rsidRDefault="0060782B" w:rsidP="0060782B">
                            <w:pPr>
                              <w:ind w:right="60"/>
                              <w:rPr>
                                <w:rFonts w:asciiTheme="minorHAnsi" w:hAnsiTheme="minorHAnsi"/>
                                <w:sz w:val="20"/>
                                <w:szCs w:val="20"/>
                              </w:rPr>
                            </w:pPr>
                            <w:hyperlink w:anchor="TOC" w:history="1">
                              <w:r>
                                <w:rPr>
                                  <w:rStyle w:val="Hyperlink"/>
                                  <w:sz w:val="20"/>
                                  <w:szCs w:val="20"/>
                                </w:rPr>
                                <w:t>Back to TOC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0C09B" id="Text Box 196" o:spid="_x0000_s1046" type="#_x0000_t202" style="position:absolute;left:0;text-align:left;margin-left:216.75pt;margin-top:6.95pt;width:1in;height:18.7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edMmAIAAK4FAAAOAAAAZHJzL2Uyb0RvYy54bWysVFFPGzEMfp+0/xDlfVxbCowTV9SBmCZV&#10;gAYTz2kuoRFJnCVp77pfj5O7K4XxwrSXOyf+bMf2Z5+dt0aTjfBBga3o+GBEibAcamUfK/rr/urL&#10;V0pCZLZmGqyo6FYEej77/OmscaWYwAp0LTxBJzaUjavoKkZXFkXgK2FYOAAnLColeMMiHv1jUXvW&#10;oHeji8lodFw04GvngYsQ8PayU9JZ9i+l4PFGyiAi0RXFt8X89fm7TN9idsbKR8/cSvH+GewfXmGY&#10;shh05+qSRUbWXv3lyijuIYCMBxxMAVIqLnIOmM149CabuxVzIueCxQluV6bw/9zy682tJ6rG3p0e&#10;U2KZwSbdizaSb9CSdIcValwoEXjnEBpbVCA6ZxvcAvhTQEixh+kMAqJTRVrpTfpjrgQNsQnbXeFT&#10;HI6Xp+PpdIQajqrJ4cn0NDemeDF2PsTvAgxJQkU99jU/gG0WIabwrBwgKVYAreorpXU+JC6JC+3J&#10;hiELdBynnNDiFUpb0lT0+PBolB1bSOYdTtvkRmQ29eFStl2CWYpbLRJG259CYjVznu/EZpwLu4uf&#10;0QklMdRHDHv8y6s+YtzlgRY5Mti4MzbKgu/6+rpk9dNQMtnh+36HLu9Ugtgu20yjyXRgzBLqLRLG&#10;Qzd0wfErhd1bsBBvmccpw4bj5og3+JEasPrQS5SswP957z7hkfyopaTBqa1o+L1mXlCif1gci0wk&#10;HPN8mB6dTDCG39cs9zV2bS4AKTHGHeV4FhM+6kGUHswDLph5iooqZjnGrmgcxIvY7RJcUFzM5xmE&#10;g+1YXNg7x4c5Sdy8bx+Ydz2BIzL/Gob5ZuUbHnfY1CAL83UEqTLJU6G7qvYNwKWQmdwvsLR19s8Z&#10;9bJmZ88AAAD//wMAUEsDBBQABgAIAAAAIQAVrUQT3wAAAAkBAAAPAAAAZHJzL2Rvd25yZXYueG1s&#10;TI8xT8MwEIV3JP6DdZVYKuqE0BbSOBVCVGqHDg0s3dz4SCLic2S7bfj3HBNsd/ee3n2vWI+2Fxf0&#10;oXOkIJ0lIJBqZzpqFHy8b+6fQISoyejeESr4xgDr8vam0LlxVzrgpYqN4BAKuVbQxjjkUoa6RavD&#10;zA1IrH06b3Xk1TfSeH3lcNvLhyRZSKs74g+tHvC1xfqrOlsF+3DcTo9+u5lWwcgd4v5tl0al7ibj&#10;ywpExDH+meEXn9GhZKaTO5MJolfwmGVztrKQPYNgw3y55MOJhzQDWRbyf4PyBwAA//8DAFBLAQIt&#10;ABQABgAIAAAAIQC2gziS/gAAAOEBAAATAAAAAAAAAAAAAAAAAAAAAABbQ29udGVudF9UeXBlc10u&#10;eG1sUEsBAi0AFAAGAAgAAAAhADj9If/WAAAAlAEAAAsAAAAAAAAAAAAAAAAALwEAAF9yZWxzLy5y&#10;ZWxzUEsBAi0AFAAGAAgAAAAhAMQd50yYAgAArgUAAA4AAAAAAAAAAAAAAAAALgIAAGRycy9lMm9E&#10;b2MueG1sUEsBAi0AFAAGAAgAAAAhABWtRBPfAAAACQEAAA8AAAAAAAAAAAAAAAAA8gQAAGRycy9k&#10;b3ducmV2LnhtbFBLBQYAAAAABAAEAPMAAAD+BQAAAAA=&#10;" o:allowoverlap="f" fillcolor="white [3201]" stroked="f" strokeweight=".5pt">
                <v:path arrowok="t"/>
                <v:textbox>
                  <w:txbxContent>
                    <w:p w:rsidR="0060782B" w:rsidRDefault="0060782B" w:rsidP="0060782B">
                      <w:pPr>
                        <w:ind w:right="60"/>
                        <w:rPr>
                          <w:rFonts w:asciiTheme="minorHAnsi" w:hAnsiTheme="minorHAnsi"/>
                          <w:sz w:val="20"/>
                          <w:szCs w:val="20"/>
                        </w:rPr>
                      </w:pPr>
                      <w:hyperlink w:anchor="TOC" w:history="1">
                        <w:r>
                          <w:rPr>
                            <w:rStyle w:val="Hyperlink"/>
                            <w:sz w:val="20"/>
                            <w:szCs w:val="20"/>
                          </w:rPr>
                          <w:t>Back to TOC</w:t>
                        </w:r>
                      </w:hyperlink>
                    </w:p>
                  </w:txbxContent>
                </v:textbox>
                <w10:wrap anchorx="margin" anchory="margin"/>
                <w10:anchorlock/>
              </v:shape>
            </w:pict>
          </mc:Fallback>
        </mc:AlternateContent>
      </w:r>
      <w:r>
        <w:rPr>
          <w:rFonts w:asciiTheme="minorHAnsi" w:hAnsiTheme="minorHAnsi"/>
        </w:rPr>
        <w:t xml:space="preserve">costs to reformulate in OTC states can be expected to be lower. </w:t>
      </w:r>
    </w:p>
    <w:p w:rsidR="0084709A" w:rsidRDefault="00B31F10" w:rsidP="00B31F10">
      <w:pPr>
        <w:pStyle w:val="Heading3"/>
      </w:pPr>
      <w:bookmarkStart w:id="161" w:name="_Toc459899007"/>
      <w:bookmarkStart w:id="162" w:name="_Ref456616443"/>
      <w:bookmarkStart w:id="163" w:name="_Toc461020965"/>
      <w:bookmarkStart w:id="164" w:name="_Toc461025629"/>
      <w:bookmarkStart w:id="165" w:name="_Toc461025838"/>
      <w:bookmarkStart w:id="166" w:name="_Toc461027108"/>
      <w:r>
        <w:lastRenderedPageBreak/>
        <w:t>2</w:t>
      </w:r>
      <w:r w:rsidR="0084709A">
        <w:t>.4.5</w:t>
      </w:r>
      <w:r>
        <w:tab/>
      </w:r>
      <w:r w:rsidR="0084709A">
        <w:tab/>
        <w:t>Emissions Reduction Benefits for Other Pollutants</w:t>
      </w:r>
      <w:bookmarkEnd w:id="161"/>
      <w:bookmarkEnd w:id="162"/>
      <w:bookmarkEnd w:id="163"/>
      <w:bookmarkEnd w:id="164"/>
      <w:bookmarkEnd w:id="165"/>
      <w:bookmarkEnd w:id="166"/>
    </w:p>
    <w:p w:rsidR="0084709A" w:rsidRDefault="0084709A" w:rsidP="0084709A">
      <w:pPr>
        <w:pStyle w:val="NoSpacing"/>
        <w:ind w:left="360"/>
        <w:jc w:val="both"/>
        <w:rPr>
          <w:rFonts w:asciiTheme="minorHAnsi" w:hAnsiTheme="minorHAnsi"/>
        </w:rPr>
      </w:pPr>
      <w:r>
        <w:rPr>
          <w:rFonts w:asciiTheme="minorHAnsi" w:hAnsiTheme="minorHAnsi"/>
        </w:rPr>
        <w:t>Some VOCs can also be categorized as toxic air contaminants or hazardous air pollutants. Since VOC can also be a precursor to Particulate Matter of 2.5 microns in size (PM</w:t>
      </w:r>
      <w:r>
        <w:rPr>
          <w:rFonts w:asciiTheme="minorHAnsi" w:hAnsiTheme="minorHAnsi"/>
          <w:vertAlign w:val="subscript"/>
        </w:rPr>
        <w:t>2.5</w:t>
      </w:r>
      <w:r>
        <w:rPr>
          <w:rFonts w:asciiTheme="minorHAnsi" w:hAnsiTheme="minorHAnsi"/>
        </w:rPr>
        <w:t xml:space="preserve">), the levels of that pollutant may be reduced as well.  </w:t>
      </w:r>
    </w:p>
    <w:p w:rsidR="0084709A" w:rsidRDefault="00B31F10" w:rsidP="00B31F10">
      <w:pPr>
        <w:pStyle w:val="Heading2"/>
      </w:pPr>
      <w:bookmarkStart w:id="167" w:name="_Toc459899008"/>
      <w:bookmarkStart w:id="168" w:name="_Toc461020966"/>
      <w:bookmarkStart w:id="169" w:name="_Toc461025630"/>
      <w:bookmarkStart w:id="170" w:name="_Toc461025839"/>
      <w:bookmarkStart w:id="171" w:name="_Toc461027109"/>
      <w:bookmarkStart w:id="172" w:name="_Ref456616458"/>
      <w:r>
        <w:t>2</w:t>
      </w:r>
      <w:r w:rsidR="0084709A">
        <w:t>.5</w:t>
      </w:r>
      <w:r w:rsidR="0084709A">
        <w:tab/>
        <w:t>Solvent Degreasing</w:t>
      </w:r>
      <w:bookmarkEnd w:id="167"/>
      <w:bookmarkEnd w:id="168"/>
      <w:bookmarkEnd w:id="169"/>
      <w:bookmarkEnd w:id="170"/>
      <w:bookmarkEnd w:id="171"/>
    </w:p>
    <w:p w:rsidR="0084709A" w:rsidRDefault="00B31F10" w:rsidP="00B31F10">
      <w:pPr>
        <w:pStyle w:val="Heading3"/>
      </w:pPr>
      <w:bookmarkStart w:id="173" w:name="_Toc459899009"/>
      <w:bookmarkStart w:id="174" w:name="_Ref457550051"/>
      <w:bookmarkStart w:id="175" w:name="_Toc461020967"/>
      <w:bookmarkStart w:id="176" w:name="_Toc461025631"/>
      <w:bookmarkStart w:id="177" w:name="_Toc461025840"/>
      <w:bookmarkStart w:id="178" w:name="_Toc461027110"/>
      <w:r>
        <w:t>2</w:t>
      </w:r>
      <w:r w:rsidR="0084709A">
        <w:t>.5.1</w:t>
      </w:r>
      <w:r>
        <w:tab/>
      </w:r>
      <w:r w:rsidR="0084709A">
        <w:tab/>
        <w:t>Federal Standards</w:t>
      </w:r>
      <w:bookmarkEnd w:id="173"/>
      <w:bookmarkEnd w:id="174"/>
      <w:bookmarkEnd w:id="175"/>
      <w:bookmarkEnd w:id="176"/>
      <w:bookmarkEnd w:id="177"/>
      <w:bookmarkEnd w:id="178"/>
      <w:r w:rsidR="0084709A">
        <w:t xml:space="preserve"> </w:t>
      </w:r>
    </w:p>
    <w:p w:rsidR="0084709A" w:rsidRDefault="0084709A" w:rsidP="0084709A">
      <w:pPr>
        <w:ind w:left="360"/>
        <w:jc w:val="both"/>
        <w:rPr>
          <w:rFonts w:asciiTheme="minorHAnsi" w:hAnsiTheme="minorHAnsi"/>
          <w:szCs w:val="24"/>
        </w:rPr>
      </w:pPr>
      <w:r>
        <w:rPr>
          <w:rFonts w:asciiTheme="minorHAnsi" w:hAnsiTheme="minorHAnsi"/>
        </w:rPr>
        <w:t>There is a 1994 ACT</w:t>
      </w:r>
      <w:r>
        <w:rPr>
          <w:rStyle w:val="FootnoteReference"/>
          <w:rFonts w:asciiTheme="minorHAnsi" w:hAnsiTheme="minorHAnsi"/>
        </w:rPr>
        <w:footnoteReference w:id="9"/>
      </w:r>
      <w:r>
        <w:rPr>
          <w:rFonts w:asciiTheme="minorHAnsi" w:hAnsiTheme="minorHAnsi"/>
        </w:rPr>
        <w:t xml:space="preserve"> and a more recent 2006 CTG or Control Techniques Guidelines</w:t>
      </w:r>
      <w:r>
        <w:rPr>
          <w:rStyle w:val="FootnoteReference"/>
          <w:rFonts w:asciiTheme="minorHAnsi" w:hAnsiTheme="minorHAnsi"/>
        </w:rPr>
        <w:footnoteReference w:id="10"/>
      </w:r>
      <w:r>
        <w:rPr>
          <w:rFonts w:asciiTheme="minorHAnsi" w:hAnsiTheme="minorHAnsi"/>
        </w:rPr>
        <w:t xml:space="preserve"> which reviews existing state rules for various solvent cleaning operations and draws conclusions and recommends certain types for inclusion in ozone non-attainment area state rules.  A CTG is used by the EPA in lieu of a national rule. This particular CTG recommended for parts cleaning operations states should consider a VOC limit of the cleaning solution used of 50 grams per liter or a solvent with a vapor pressure at 20</w:t>
      </w:r>
      <w:r>
        <w:rPr>
          <w:rFonts w:asciiTheme="minorHAnsi" w:hAnsiTheme="minorHAnsi"/>
          <w:vertAlign w:val="superscript"/>
        </w:rPr>
        <w:t>o</w:t>
      </w:r>
      <w:r>
        <w:rPr>
          <w:rFonts w:asciiTheme="minorHAnsi" w:hAnsiTheme="minorHAnsi"/>
        </w:rPr>
        <w:t>C of 8 mm Hg, which EPA considered to offer the same emissions level. We strongly disagree with this position as there have been no studies conducted linking the emissions from a solvent cleaner using a 50 gm VOC per liter solvent and emissions from a solvent cleaner using a VOC solvent with a vapor pressure of 8 mm Hg at 20 degrees C. According to the AP-42</w:t>
      </w:r>
      <w:r>
        <w:rPr>
          <w:rStyle w:val="FootnoteReference"/>
          <w:rFonts w:asciiTheme="minorHAnsi" w:hAnsiTheme="minorHAnsi"/>
        </w:rPr>
        <w:footnoteReference w:id="11"/>
      </w:r>
      <w:r>
        <w:rPr>
          <w:rFonts w:asciiTheme="minorHAnsi" w:hAnsiTheme="minorHAnsi"/>
        </w:rPr>
        <w:t xml:space="preserve">, evaporation of VOC from bulk solvent in a degreaser is only one avenue of cold cleaner emissions. One also has to consider drag-out losses which AP-42 studies show are more than losses from evaporation of bulk solvent from cold cleaners. </w:t>
      </w:r>
    </w:p>
    <w:p w:rsidR="0084709A" w:rsidRDefault="0084709A" w:rsidP="0084709A">
      <w:pPr>
        <w:spacing w:before="120"/>
        <w:ind w:left="360"/>
        <w:jc w:val="both"/>
        <w:rPr>
          <w:rFonts w:asciiTheme="minorHAnsi" w:hAnsiTheme="minorHAnsi"/>
        </w:rPr>
      </w:pPr>
      <w:r>
        <w:rPr>
          <w:rFonts w:asciiTheme="minorHAnsi" w:hAnsiTheme="minorHAnsi"/>
        </w:rPr>
        <w:t>Current EPA regulations on solvent degreasers cover only the halogenated solvents (and machines that use them) such as MC, PCE, TCE, 1,1,1,-trichloroethane (TCA), halogenated solvent blends, or their vapors, used to remove soils such as grease, oils, waxes, carbon deposits, fluxes, and tars from metal, plastic, fiberglass, printed circuit boards, and other surfaces. Halogenated solvent cleaning is typically performed prior to processes such as painting, plating, inspection, repair, assembly, heat treatment, and machining. Types of solvent cleaning machines include, but are not limited to, batch vapor, in-line vapor, in-line cold, and batch cold solvent cleaning machines. Buckets, pails, and beakers with capacities of 7.6 liters (2 gallons) or less are not considered solvent cleaning machines. Halogenated solvent cleaning does not constitute a distinct industrial category, but is an integral part of many major industries. As part of the SCAQMD Rule 1122 “Solvent Degreasers”</w:t>
      </w:r>
      <w:r>
        <w:rPr>
          <w:rStyle w:val="FootnoteReference"/>
          <w:rFonts w:asciiTheme="minorHAnsi" w:hAnsiTheme="minorHAnsi"/>
        </w:rPr>
        <w:footnoteReference w:id="12"/>
      </w:r>
      <w:r>
        <w:rPr>
          <w:rFonts w:asciiTheme="minorHAnsi" w:hAnsiTheme="minorHAnsi"/>
        </w:rPr>
        <w:t>, stakeholders asked that the EPA requirements for halogenated solvents be added to Rule 1</w:t>
      </w:r>
      <w:r w:rsidR="0060782B">
        <w:rPr>
          <w:noProof/>
        </w:rPr>
        <mc:AlternateContent>
          <mc:Choice Requires="wps">
            <w:drawing>
              <wp:anchor distT="0" distB="0" distL="114300" distR="114300" simplePos="0" relativeHeight="251720704" behindDoc="0" locked="1" layoutInCell="1" allowOverlap="0" wp14:anchorId="37F0C09B" wp14:editId="2A19CA42">
                <wp:simplePos x="0" y="0"/>
                <wp:positionH relativeFrom="margin">
                  <wp:posOffset>2857500</wp:posOffset>
                </wp:positionH>
                <wp:positionV relativeFrom="bottomMargin">
                  <wp:posOffset>1323340</wp:posOffset>
                </wp:positionV>
                <wp:extent cx="914400" cy="237490"/>
                <wp:effectExtent l="0" t="0" r="0" b="0"/>
                <wp:wrapNone/>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237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782B" w:rsidRDefault="0060782B" w:rsidP="0060782B">
                            <w:pPr>
                              <w:ind w:right="60"/>
                              <w:rPr>
                                <w:rFonts w:asciiTheme="minorHAnsi" w:hAnsiTheme="minorHAnsi"/>
                                <w:sz w:val="20"/>
                                <w:szCs w:val="20"/>
                              </w:rPr>
                            </w:pPr>
                            <w:hyperlink w:anchor="TOC" w:history="1">
                              <w:r>
                                <w:rPr>
                                  <w:rStyle w:val="Hyperlink"/>
                                  <w:sz w:val="20"/>
                                  <w:szCs w:val="20"/>
                                </w:rPr>
                                <w:t>Back to TOC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0C09B" id="Text Box 197" o:spid="_x0000_s1047" type="#_x0000_t202" style="position:absolute;left:0;text-align:left;margin-left:225pt;margin-top:104.2pt;width:1in;height:18.7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DVtmAIAAK4FAAAOAAAAZHJzL2Uyb0RvYy54bWysVFFPGzEMfp+0/xDlfVxbCowTV9SBmCZV&#10;gAYTz2kuoRFJnCVp77pfj5O7K4XxwrSXOyf+bMf2Z5+dt0aTjfBBga3o+GBEibAcamUfK/rr/urL&#10;V0pCZLZmGqyo6FYEej77/OmscaWYwAp0LTxBJzaUjavoKkZXFkXgK2FYOAAnLColeMMiHv1jUXvW&#10;oHeji8lodFw04GvngYsQ8PayU9JZ9i+l4PFGyiAi0RXFt8X89fm7TN9idsbKR8/cSvH+GewfXmGY&#10;shh05+qSRUbWXv3lyijuIYCMBxxMAVIqLnIOmM149CabuxVzIueCxQluV6bw/9zy682tJ6rG3p2e&#10;UGKZwSbdizaSb9CSdIcValwoEXjnEBpbVCA6ZxvcAvhTQEixh+kMAqJTRVrpTfpjrgQNsQnbXeFT&#10;HI6Xp+PpdIQajqrJ4cn0NDemeDF2PsTvAgxJQkU99jU/gG0WIabwrBwgKVYAreorpXU+JC6JC+3J&#10;hiELdBynnNDiFUpb0lT0+PBolB1bSOYdTtvkRmQ29eFStl2CWYpbLRJG259CYjVznu/EZpwLu4uf&#10;0QklMdRHDHv8y6s+YtzlgRY5Mti4MzbKgu/6+rpk9dNQMtnh+36HLu9Ugtgu20yjydHAmCXUWySM&#10;h27oguNXCru3YCHeMo9Thg3HzRFv8CM1YPWhlyhZgf/z3n3CI/lRS0mDU1vR8HvNvKBE/7A4FplI&#10;OOb5MD06mWAMv69Z7mvs2lwAUmKMO8rxLCZ81IMoPZgHXDDzFBVVzHKMXdE4iBex2yW4oLiYzzMI&#10;B9uxuLB3jg9zkrh53z4w73oCR2T+NQzzzco3PO6wqUEW5usIUmWSp0J3Ve0bgEshM7lfYGnr7J8z&#10;6mXNzp4BAAD//wMAUEsDBBQABgAIAAAAIQBOJ1cQ4QAAAAsBAAAPAAAAZHJzL2Rvd25yZXYueG1s&#10;TI/BTsMwEETvSPyDtUhcKuq0SlCaxqkQolJ76KGBS29uvCQR8Tqy3Tb8PcsJjjs7mnlTbiY7iCv6&#10;0DtSsJgnIJAaZ3pqFXy8b59yECFqMnpwhAq+McCmur8rdWHcjY54rWMrOIRCoRV0MY6FlKHp0Oow&#10;dyMS/z6dtzry6VtpvL5xuB3kMkmepdU9cUOnR3ztsPmqL1bBIZx2s5PfbWd1MHKPeHjbL6JSjw/T&#10;yxpExCn+meEXn9GhYqazu5AJYlCQZglviQqWSZ6CYEe2Slk5s5JmOciqlP83VD8AAAD//wMAUEsB&#10;Ai0AFAAGAAgAAAAhALaDOJL+AAAA4QEAABMAAAAAAAAAAAAAAAAAAAAAAFtDb250ZW50X1R5cGVz&#10;XS54bWxQSwECLQAUAAYACAAAACEAOP0h/9YAAACUAQAACwAAAAAAAAAAAAAAAAAvAQAAX3JlbHMv&#10;LnJlbHNQSwECLQAUAAYACAAAACEA7Nw1bZgCAACuBQAADgAAAAAAAAAAAAAAAAAuAgAAZHJzL2Uy&#10;b0RvYy54bWxQSwECLQAUAAYACAAAACEATidXEOEAAAALAQAADwAAAAAAAAAAAAAAAADyBAAAZHJz&#10;L2Rvd25yZXYueG1sUEsFBgAAAAAEAAQA8wAAAAAGAAAAAA==&#10;" o:allowoverlap="f" fillcolor="white [3201]" stroked="f" strokeweight=".5pt">
                <v:path arrowok="t"/>
                <v:textbox>
                  <w:txbxContent>
                    <w:p w:rsidR="0060782B" w:rsidRDefault="0060782B" w:rsidP="0060782B">
                      <w:pPr>
                        <w:ind w:right="60"/>
                        <w:rPr>
                          <w:rFonts w:asciiTheme="minorHAnsi" w:hAnsiTheme="minorHAnsi"/>
                          <w:sz w:val="20"/>
                          <w:szCs w:val="20"/>
                        </w:rPr>
                      </w:pPr>
                      <w:hyperlink w:anchor="TOC" w:history="1">
                        <w:r>
                          <w:rPr>
                            <w:rStyle w:val="Hyperlink"/>
                            <w:sz w:val="20"/>
                            <w:szCs w:val="20"/>
                          </w:rPr>
                          <w:t>Back to TOC</w:t>
                        </w:r>
                      </w:hyperlink>
                    </w:p>
                  </w:txbxContent>
                </v:textbox>
                <w10:wrap anchorx="margin" anchory="margin"/>
                <w10:anchorlock/>
              </v:shape>
            </w:pict>
          </mc:Fallback>
        </mc:AlternateContent>
      </w:r>
      <w:r>
        <w:rPr>
          <w:rFonts w:asciiTheme="minorHAnsi" w:hAnsiTheme="minorHAnsi"/>
        </w:rPr>
        <w:t>122. In preparing the OTC model rule, the team did not adopt that approach.</w:t>
      </w:r>
    </w:p>
    <w:p w:rsidR="00DA6CEC" w:rsidRDefault="0084709A" w:rsidP="0084709A">
      <w:pPr>
        <w:spacing w:before="120" w:after="200"/>
        <w:ind w:left="360"/>
        <w:jc w:val="both"/>
        <w:rPr>
          <w:rFonts w:asciiTheme="minorHAnsi" w:hAnsiTheme="minorHAnsi"/>
        </w:rPr>
      </w:pPr>
      <w:r>
        <w:rPr>
          <w:rFonts w:asciiTheme="minorHAnsi" w:hAnsiTheme="minorHAnsi"/>
        </w:rPr>
        <w:lastRenderedPageBreak/>
        <w:t xml:space="preserve">On </w:t>
      </w:r>
      <w:bookmarkStart w:id="179" w:name="OLE_LINK3"/>
      <w:bookmarkStart w:id="180" w:name="OLE_LINK2"/>
      <w:bookmarkStart w:id="181" w:name="OLE_LINK1"/>
      <w:r>
        <w:rPr>
          <w:rFonts w:asciiTheme="minorHAnsi" w:hAnsiTheme="minorHAnsi"/>
        </w:rPr>
        <w:t xml:space="preserve">May 3, 2007, EPA issued a final rule on Halogenated Solvent Cleaners (as part of National Air Emission Standards for Hazardous Air Pollutants), </w:t>
      </w:r>
      <w:bookmarkEnd w:id="179"/>
      <w:bookmarkEnd w:id="180"/>
      <w:bookmarkEnd w:id="181"/>
      <w:r>
        <w:rPr>
          <w:rFonts w:asciiTheme="minorHAnsi" w:hAnsiTheme="minorHAnsi"/>
        </w:rPr>
        <w:t xml:space="preserve">promulgating a facility-wide emission limit of 60,000 kg/yr </w:t>
      </w:r>
      <w:bookmarkStart w:id="182" w:name="OLE_LINK7"/>
      <w:bookmarkStart w:id="183" w:name="OLE_LINK4"/>
      <w:r>
        <w:rPr>
          <w:rFonts w:asciiTheme="minorHAnsi" w:hAnsiTheme="minorHAnsi"/>
        </w:rPr>
        <w:t>MC equivalent</w:t>
      </w:r>
      <w:bookmarkEnd w:id="182"/>
      <w:bookmarkEnd w:id="183"/>
      <w:r>
        <w:rPr>
          <w:rStyle w:val="FootnoteReference"/>
          <w:rFonts w:asciiTheme="minorHAnsi" w:hAnsiTheme="minorHAnsi"/>
        </w:rPr>
        <w:footnoteReference w:id="13"/>
      </w:r>
      <w:r>
        <w:rPr>
          <w:rFonts w:asciiTheme="minorHAnsi" w:hAnsiTheme="minorHAnsi"/>
        </w:rPr>
        <w:t>:</w:t>
      </w:r>
    </w:p>
    <w:p w:rsidR="00DA6CEC" w:rsidRPr="00DA6CEC" w:rsidRDefault="00CA472B" w:rsidP="00DA6CEC">
      <w:pPr>
        <w:pStyle w:val="Caption"/>
        <w:keepNext/>
        <w:spacing w:before="120" w:after="120"/>
        <w:rPr>
          <w:rFonts w:ascii="Calibri" w:hAnsi="Calibri"/>
          <w:sz w:val="22"/>
          <w:szCs w:val="22"/>
        </w:rPr>
      </w:pPr>
      <w:bookmarkStart w:id="184" w:name="_Toc461106801"/>
      <w:r>
        <w:rPr>
          <w:rFonts w:ascii="Calibri" w:hAnsi="Calibri"/>
          <w:sz w:val="22"/>
          <w:szCs w:val="22"/>
        </w:rPr>
        <w:t>Table</w:t>
      </w:r>
      <w:r w:rsidR="00DA6CEC" w:rsidRPr="00DA6CEC">
        <w:rPr>
          <w:rFonts w:ascii="Calibri" w:hAnsi="Calibri"/>
          <w:sz w:val="22"/>
          <w:szCs w:val="22"/>
        </w:rPr>
        <w:t xml:space="preserve"> 2-</w:t>
      </w:r>
      <w:r>
        <w:rPr>
          <w:rFonts w:ascii="Calibri" w:hAnsi="Calibri"/>
          <w:sz w:val="22"/>
          <w:szCs w:val="22"/>
        </w:rPr>
        <w:t>4</w:t>
      </w:r>
      <w:r>
        <w:rPr>
          <w:rFonts w:ascii="Calibri" w:hAnsi="Calibri"/>
          <w:sz w:val="22"/>
          <w:szCs w:val="22"/>
        </w:rPr>
        <w:tab/>
      </w:r>
      <w:r w:rsidR="00DA6CEC" w:rsidRPr="00DA6CEC">
        <w:rPr>
          <w:rFonts w:ascii="Calibri" w:hAnsi="Calibri"/>
          <w:sz w:val="22"/>
          <w:szCs w:val="22"/>
        </w:rPr>
        <w:t>Emission Limits for Halogenated Solvent Cleaners</w:t>
      </w:r>
      <w:bookmarkEnd w:id="184"/>
    </w:p>
    <w:p w:rsidR="0084709A" w:rsidRDefault="00B31F10" w:rsidP="0084709A">
      <w:pPr>
        <w:spacing w:after="200"/>
        <w:ind w:left="360"/>
        <w:rPr>
          <w:rFonts w:asciiTheme="minorHAnsi" w:hAnsiTheme="minorHAnsi"/>
          <w:sz w:val="22"/>
        </w:rPr>
      </w:pPr>
      <w:r w:rsidRPr="00592C55">
        <w:rPr>
          <w:rFonts w:asciiTheme="minorHAnsi" w:hAnsiTheme="minorHAnsi"/>
          <w:noProof/>
          <w:sz w:val="22"/>
        </w:rPr>
        <w:drawing>
          <wp:inline distT="0" distB="0" distL="0" distR="0" wp14:anchorId="58A74A8B" wp14:editId="24E39F40">
            <wp:extent cx="5743575" cy="1285875"/>
            <wp:effectExtent l="19050" t="19050" r="28575" b="2857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BEBA8EAE-BF5A-486C-A8C5-ECC9F3942E4B}">
                          <a14:imgProps xmlns:a14="http://schemas.microsoft.com/office/drawing/2010/main">
                            <a14:imgLayer r:embed="rId13">
                              <a14:imgEffect>
                                <a14:sharpenSoften amount="25000"/>
                              </a14:imgEffect>
                            </a14:imgLayer>
                          </a14:imgProps>
                        </a:ext>
                      </a:extLst>
                    </a:blip>
                    <a:srcRect l="17308" t="59544" r="18269" b="14815"/>
                    <a:stretch/>
                  </pic:blipFill>
                  <pic:spPr bwMode="auto">
                    <a:xfrm>
                      <a:off x="0" y="0"/>
                      <a:ext cx="5743575" cy="1285875"/>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84709A" w:rsidRDefault="00B31F10" w:rsidP="00B31F10">
      <w:pPr>
        <w:pStyle w:val="Heading3"/>
      </w:pPr>
      <w:bookmarkStart w:id="185" w:name="_Toc459899010"/>
      <w:bookmarkStart w:id="186" w:name="_Toc461020968"/>
      <w:bookmarkStart w:id="187" w:name="_Toc461025632"/>
      <w:bookmarkStart w:id="188" w:name="_Toc461025841"/>
      <w:bookmarkStart w:id="189" w:name="_Toc461027111"/>
      <w:r>
        <w:t>2</w:t>
      </w:r>
      <w:r w:rsidR="0084709A">
        <w:t>.5.2</w:t>
      </w:r>
      <w:r w:rsidR="0084709A">
        <w:tab/>
      </w:r>
      <w:r>
        <w:tab/>
      </w:r>
      <w:r w:rsidR="0084709A">
        <w:t>California’s South Coast Air Quality Management District (SCAQMD) Standards</w:t>
      </w:r>
      <w:bookmarkEnd w:id="185"/>
      <w:bookmarkEnd w:id="186"/>
      <w:bookmarkEnd w:id="187"/>
      <w:bookmarkEnd w:id="188"/>
      <w:bookmarkEnd w:id="189"/>
      <w:r w:rsidR="0084709A">
        <w:t xml:space="preserve"> </w:t>
      </w:r>
    </w:p>
    <w:p w:rsidR="0084709A" w:rsidRDefault="0084709A" w:rsidP="0084709A">
      <w:pPr>
        <w:pStyle w:val="NoSpacing"/>
        <w:ind w:left="360"/>
        <w:jc w:val="both"/>
        <w:rPr>
          <w:rFonts w:asciiTheme="minorHAnsi" w:hAnsiTheme="minorHAnsi"/>
        </w:rPr>
      </w:pPr>
      <w:r>
        <w:rPr>
          <w:rFonts w:asciiTheme="minorHAnsi" w:hAnsiTheme="minorHAnsi"/>
        </w:rPr>
        <w:t xml:space="preserve">SCAQMD’s solvent cleaning rule in effect since 1979 has been revised and made more stringent over the years to attain ever lower VOC emissions. SCAQMD has two key components in its ozone reduction strategy “Rule 1171 - Solvent Cleaning Operations” and “Rule 1122 - Solvent Degreasers” which are used in tandem to control VOC emissions from numerous uses of solvents in industrial, commercial, and general purpose cleaning and degreasing activities and solvent waste generated during production, repair, maintenance, or servicing of products, tools, machinery, and general work areas.  SCAQMD dropped the use of vapor pressure to set a VOC limit at 50 g/l in Rule 1171 in 1999 when material VOC calculations were introduced, and later adopted the limit into Rule 1122. </w:t>
      </w:r>
    </w:p>
    <w:p w:rsidR="0084709A" w:rsidRDefault="0084709A" w:rsidP="0084709A">
      <w:pPr>
        <w:pStyle w:val="NoSpacing"/>
        <w:spacing w:before="120" w:after="120"/>
        <w:ind w:left="360"/>
        <w:jc w:val="both"/>
        <w:rPr>
          <w:rFonts w:asciiTheme="minorHAnsi" w:hAnsiTheme="minorHAnsi"/>
        </w:rPr>
      </w:pPr>
      <w:r>
        <w:rPr>
          <w:rFonts w:asciiTheme="minorHAnsi" w:hAnsiTheme="minorHAnsi"/>
        </w:rPr>
        <w:t xml:space="preserve">Rule 1122 as revised on 9/1/2001, lowered material VOC limits for all cold cleaners from 50 g/l to 25 g/l effective 1/1/2003. All vapor degreasers required a solvent VOC of 25 g/l or less effective 1/1/2006 (prior to which there were no VOC limits for vapor degreasers). </w:t>
      </w:r>
    </w:p>
    <w:p w:rsidR="0084709A" w:rsidRDefault="0084709A" w:rsidP="0084709A">
      <w:pPr>
        <w:pStyle w:val="NoSpacing"/>
        <w:spacing w:after="200"/>
        <w:ind w:left="360"/>
        <w:jc w:val="both"/>
        <w:rPr>
          <w:rFonts w:asciiTheme="minorHAnsi" w:hAnsiTheme="minorHAnsi"/>
        </w:rPr>
      </w:pPr>
      <w:r>
        <w:rPr>
          <w:rFonts w:asciiTheme="minorHAnsi" w:hAnsiTheme="minorHAnsi"/>
        </w:rPr>
        <w:t>SCAQMD Rule 1122 as revised on 5/1/2009, served as the model for the proposed OTC model rule using the VOC limits defined in the 9/1/2001 revision and dropping the NESHAP halogenated solvents provisions.</w:t>
      </w:r>
      <w:r>
        <w:t xml:space="preserve"> </w:t>
      </w:r>
      <w:r>
        <w:rPr>
          <w:rFonts w:asciiTheme="minorHAnsi" w:hAnsiTheme="minorHAnsi"/>
        </w:rPr>
        <w:t xml:space="preserve">We also did not extend the SCAQMD 25 g/l VOC limit to vapor degreasers, but left them the same as the OTC 2002 rule required. Since vapor degreasing accounts for only a small percentage of total degreasing (8 % or less) the impact on VOC reductions is minimal. Other changes from the old model rule were to (1) allow cold cleaners to use heated (but non-boiling) cleaning solvent (2) apply to all types of parts not just metal parts (3 )set a VOC solvent content limit of 150 grams VOC  per liter for cleaning printed circuit boards and related electronic parts (4) set no lower size limit for cold cleaners (was contain more than one liter of VOC) and (5) clarify the difference between in-line cold </w:t>
      </w:r>
      <w:r w:rsidR="0060782B">
        <w:rPr>
          <w:noProof/>
        </w:rPr>
        <mc:AlternateContent>
          <mc:Choice Requires="wps">
            <w:drawing>
              <wp:anchor distT="0" distB="0" distL="114300" distR="114300" simplePos="0" relativeHeight="251722752" behindDoc="0" locked="1" layoutInCell="1" allowOverlap="0" wp14:anchorId="37F0C09B" wp14:editId="2A19CA42">
                <wp:simplePos x="0" y="0"/>
                <wp:positionH relativeFrom="margin">
                  <wp:posOffset>2847975</wp:posOffset>
                </wp:positionH>
                <wp:positionV relativeFrom="bottomMargin">
                  <wp:posOffset>671195</wp:posOffset>
                </wp:positionV>
                <wp:extent cx="914400" cy="237490"/>
                <wp:effectExtent l="0" t="0" r="0" b="0"/>
                <wp:wrapNone/>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237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782B" w:rsidRDefault="0060782B" w:rsidP="0060782B">
                            <w:pPr>
                              <w:ind w:right="60"/>
                              <w:rPr>
                                <w:rFonts w:asciiTheme="minorHAnsi" w:hAnsiTheme="minorHAnsi"/>
                                <w:sz w:val="20"/>
                                <w:szCs w:val="20"/>
                              </w:rPr>
                            </w:pPr>
                            <w:hyperlink w:anchor="TOC" w:history="1">
                              <w:r>
                                <w:rPr>
                                  <w:rStyle w:val="Hyperlink"/>
                                  <w:sz w:val="20"/>
                                  <w:szCs w:val="20"/>
                                </w:rPr>
                                <w:t>Back to TOC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0C09B" id="Text Box 199" o:spid="_x0000_s1048" type="#_x0000_t202" style="position:absolute;left:0;text-align:left;margin-left:224.25pt;margin-top:52.85pt;width:1in;height:18.7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mdWmAIAAK4FAAAOAAAAZHJzL2Uyb0RvYy54bWysVFFPGzEMfp+0/xDlfVxbCltPXFEHYppU&#10;ARpMPKe5hEYkcZakvet+/ZzcXSmMF6a93DnxZzu2P/vsvDWabIUPCmxFx0cjSoTlUCv7WNGf91ef&#10;vlASIrM102BFRXci0PP5xw9njSvFBNaga+EJOrGhbFxF1zG6sigCXwvDwhE4YVEpwRsW8egfi9qz&#10;Br0bXUxGo9OiAV87D1yEgLeXnZLOs38pBY83UgYRia4ovi3mr8/fVfoW8zNWPnrm1or3z2D/8ArD&#10;lMWge1eXLDKy8eovV0ZxDwFkPOJgCpBScZFzwGzGo1fZ3K2ZEzkXLE5w+zKF/+eWX29vPVE19m42&#10;o8Qyg026F20kX6El6Q4r1LhQIvDOITS2qEB0zja4JfCngJDiANMZBESnirTSm/THXAkaYhN2+8Kn&#10;OBwvZ+PpdIQajqrJ8efpLDemeDZ2PsRvAgxJQkU99jU/gG2XIabwrBwgKVYAreorpXU+JC6JC+3J&#10;liELdBynnNDiBUpb0lT09PhklB1bSOYdTtvkRmQ29eFStl2CWYo7LRJG2x9CYjVznm/EZpwLu4+f&#10;0QklMdR7DHv886veY9zlgRY5Mti4NzbKgu/6+rJk9dNQMtnh+36HLu9Ugtiu2kyjyenAmBXUOySM&#10;h27oguNXCru3ZCHeMo9Thg3HzRFv8CM1YPWhlyhZg//91n3CI/lRS0mDU1vR8GvDvKBEf7c4FplI&#10;OOb5MD35PMEY/lCzOtTYjbkApMQYd5TjWUz4qAdRejAPuGAWKSqqmOUYu6JxEC9it0twQXGxWGQQ&#10;DrZjcWnvHB/mJHHzvn1g3vUEjsj8axjmm5WveNxhU4MsLDYRpMokT4Xuqto3AJdCZnK/wNLWOTxn&#10;1POanf8BAAD//wMAUEsDBBQABgAIAAAAIQDJbs1v4AAAAAsBAAAPAAAAZHJzL2Rvd25yZXYueG1s&#10;TI/BTsMwEETvSPyDtUhcKuqkJFBCnAohKrWHHghcenPjJYmI15HttuHvWU7luDNPszPlarKDOKEP&#10;vSMF6TwBgdQ401Or4PNjfbcEEaImowdHqOAHA6yq66tSF8ad6R1PdWwFh1AotIIuxrGQMjQdWh3m&#10;bkRi78t5qyOfvpXG6zOH20EukuRBWt0Tf+j0iK8dNt/10SrYhf1mtveb9awORm4Rd2/bNCp1ezO9&#10;PIOIOMULDH/1uTpU3OngjmSCGBRk2TJnlI0kfwTBRP60YOXASnafgqxK+X9D9QsAAP//AwBQSwEC&#10;LQAUAAYACAAAACEAtoM4kv4AAADhAQAAEwAAAAAAAAAAAAAAAAAAAAAAW0NvbnRlbnRfVHlwZXNd&#10;LnhtbFBLAQItABQABgAIAAAAIQA4/SH/1gAAAJQBAAALAAAAAAAAAAAAAAAAAC8BAABfcmVscy8u&#10;cmVsc1BLAQItABQABgAIAAAAIQChrmdWmAIAAK4FAAAOAAAAAAAAAAAAAAAAAC4CAABkcnMvZTJv&#10;RG9jLnhtbFBLAQItABQABgAIAAAAIQDJbs1v4AAAAAsBAAAPAAAAAAAAAAAAAAAAAPIEAABkcnMv&#10;ZG93bnJldi54bWxQSwUGAAAAAAQABADzAAAA/wUAAAAA&#10;" o:allowoverlap="f" fillcolor="white [3201]" stroked="f" strokeweight=".5pt">
                <v:path arrowok="t"/>
                <v:textbox>
                  <w:txbxContent>
                    <w:p w:rsidR="0060782B" w:rsidRDefault="0060782B" w:rsidP="0060782B">
                      <w:pPr>
                        <w:ind w:right="60"/>
                        <w:rPr>
                          <w:rFonts w:asciiTheme="minorHAnsi" w:hAnsiTheme="minorHAnsi"/>
                          <w:sz w:val="20"/>
                          <w:szCs w:val="20"/>
                        </w:rPr>
                      </w:pPr>
                      <w:hyperlink w:anchor="TOC" w:history="1">
                        <w:r>
                          <w:rPr>
                            <w:rStyle w:val="Hyperlink"/>
                            <w:sz w:val="20"/>
                            <w:szCs w:val="20"/>
                          </w:rPr>
                          <w:t>Back to TOC</w:t>
                        </w:r>
                      </w:hyperlink>
                    </w:p>
                  </w:txbxContent>
                </v:textbox>
                <w10:wrap anchorx="margin" anchory="margin"/>
                <w10:anchorlock/>
              </v:shape>
            </w:pict>
          </mc:Fallback>
        </mc:AlternateContent>
      </w:r>
      <w:r>
        <w:rPr>
          <w:rFonts w:asciiTheme="minorHAnsi" w:hAnsiTheme="minorHAnsi"/>
        </w:rPr>
        <w:t xml:space="preserve">and in-line vapor cleaning machines. </w:t>
      </w:r>
    </w:p>
    <w:p w:rsidR="0084709A" w:rsidRDefault="00B31F10" w:rsidP="00B31F10">
      <w:pPr>
        <w:pStyle w:val="Heading3"/>
      </w:pPr>
      <w:bookmarkStart w:id="190" w:name="_Toc459899011"/>
      <w:bookmarkStart w:id="191" w:name="_Ref457550078"/>
      <w:bookmarkStart w:id="192" w:name="_Toc461020969"/>
      <w:bookmarkStart w:id="193" w:name="_Toc461025633"/>
      <w:bookmarkStart w:id="194" w:name="_Toc461025842"/>
      <w:bookmarkStart w:id="195" w:name="_Toc461027112"/>
      <w:r>
        <w:lastRenderedPageBreak/>
        <w:t>2</w:t>
      </w:r>
      <w:r w:rsidR="0084709A">
        <w:t>.5.3</w:t>
      </w:r>
      <w:r w:rsidR="0084709A">
        <w:tab/>
      </w:r>
      <w:r>
        <w:tab/>
      </w:r>
      <w:r w:rsidR="0084709A">
        <w:t>OTC Measure / Model Rule</w:t>
      </w:r>
      <w:bookmarkEnd w:id="190"/>
      <w:bookmarkEnd w:id="191"/>
      <w:bookmarkEnd w:id="192"/>
      <w:bookmarkEnd w:id="193"/>
      <w:bookmarkEnd w:id="194"/>
      <w:bookmarkEnd w:id="195"/>
    </w:p>
    <w:p w:rsidR="0084709A" w:rsidRDefault="0084709A" w:rsidP="0084709A">
      <w:pPr>
        <w:pStyle w:val="NoSpacing"/>
        <w:spacing w:before="120"/>
        <w:ind w:left="360"/>
        <w:jc w:val="both"/>
        <w:rPr>
          <w:rFonts w:asciiTheme="minorHAnsi" w:hAnsiTheme="minorHAnsi"/>
        </w:rPr>
      </w:pPr>
      <w:r>
        <w:rPr>
          <w:rFonts w:asciiTheme="minorHAnsi" w:hAnsiTheme="minorHAnsi"/>
        </w:rPr>
        <w:t>The OTC Model Rule addresses control measures for VOC emissions from cold cleaning machines (the major source of solvent degreasing VOC emissions), open-top vapor degreasers, all types of conveyorized degreasers, and air-tight and airless cleaning systems that carry out solvent degreasing operations with a VOC-containing solvent.  Batch and conveyorized cold (non-boiling) degreasers will use solvent with a material VOC content of 25 g/l or less. The cleaning solvent vapor pressure limit (1.0 mmHg) for cold cleaning defined in the former 2001 OTC Model Rule on “Solvents and Cleaners” will no longer be applicable.  Open-top and conveyorized vapor degreasers and airless and airtight cleaning systems regulation will remain essentially the same as in the 2001 model rule.  However, unlike the 2001 model rule, the regulated degreasing will now include all substrates and not be limited to metal parts. Electronic manufacturers requested the VOC limit be raised for printed circuit board cleaning and related electronic parts. After some discussion a limit of 150 grams VOC per liter was established.</w:t>
      </w:r>
    </w:p>
    <w:p w:rsidR="0084709A" w:rsidRDefault="0084709A" w:rsidP="0084709A">
      <w:pPr>
        <w:pStyle w:val="NoSpacing"/>
        <w:spacing w:before="120" w:after="120"/>
        <w:ind w:left="360"/>
        <w:jc w:val="both"/>
        <w:rPr>
          <w:rFonts w:asciiTheme="minorHAnsi" w:hAnsiTheme="minorHAnsi"/>
        </w:rPr>
      </w:pPr>
      <w:r>
        <w:rPr>
          <w:rFonts w:asciiTheme="minorHAnsi" w:hAnsiTheme="minorHAnsi"/>
          <w:u w:val="single"/>
        </w:rPr>
        <w:t>Issues</w:t>
      </w:r>
      <w:r>
        <w:rPr>
          <w:rFonts w:asciiTheme="minorHAnsi" w:hAnsiTheme="minorHAnsi"/>
        </w:rPr>
        <w:t>: Without close attention to special exemptions for small but critical operations such as aerospace, medical, specialized electronics, etc., significant resistance may be encountered. Most of this resistance will likely be based upon a lack of understanding of a technology (water-based parts cleaning) foreign to the user.  State stakeholders will likely need help in gaining acceptance of this technology. Exemptions for specialized operations may tend to be higher than in other rules and are somewhat state-specific (i.e. since the OTC model rule cannot include specialized operations that are specific to only a few states, each state may be required to search out these specialized operations). Forgoing regulation of vapor degreasing as practiced in SCAQMD (where they now require a solvent limit of 25 g/l in vapor degreasers) removed many potentially adverse stakeholder concerns with this solvent degreaser model rule.</w:t>
      </w:r>
    </w:p>
    <w:p w:rsidR="0084709A" w:rsidRDefault="00B31F10" w:rsidP="00B31F10">
      <w:pPr>
        <w:pStyle w:val="Heading3"/>
      </w:pPr>
      <w:bookmarkStart w:id="196" w:name="_Toc459899012"/>
      <w:bookmarkStart w:id="197" w:name="_Toc461020970"/>
      <w:bookmarkStart w:id="198" w:name="_Toc461025634"/>
      <w:bookmarkStart w:id="199" w:name="_Toc461025843"/>
      <w:bookmarkStart w:id="200" w:name="_Toc461027113"/>
      <w:r>
        <w:t>2</w:t>
      </w:r>
      <w:r w:rsidR="0084709A">
        <w:t>.5.4</w:t>
      </w:r>
      <w:r w:rsidR="0084709A">
        <w:tab/>
      </w:r>
      <w:r>
        <w:tab/>
      </w:r>
      <w:r w:rsidR="0084709A">
        <w:t>Emissions Reduction Benefit</w:t>
      </w:r>
      <w:bookmarkEnd w:id="196"/>
      <w:bookmarkEnd w:id="197"/>
      <w:bookmarkEnd w:id="198"/>
      <w:bookmarkEnd w:id="199"/>
      <w:bookmarkEnd w:id="200"/>
    </w:p>
    <w:p w:rsidR="0084709A" w:rsidRDefault="0084709A" w:rsidP="0084709A">
      <w:pPr>
        <w:pStyle w:val="NoSpacing"/>
        <w:spacing w:after="200"/>
        <w:ind w:left="360"/>
        <w:jc w:val="both"/>
        <w:rPr>
          <w:rFonts w:asciiTheme="minorHAnsi" w:hAnsiTheme="minorHAnsi"/>
        </w:rPr>
      </w:pPr>
      <w:r>
        <w:rPr>
          <w:rFonts w:asciiTheme="minorHAnsi" w:hAnsiTheme="minorHAnsi"/>
        </w:rPr>
        <w:t xml:space="preserve">The </w:t>
      </w:r>
      <w:bookmarkStart w:id="201" w:name="OLE_LINK8"/>
      <w:r>
        <w:rPr>
          <w:rFonts w:asciiTheme="minorHAnsi" w:hAnsiTheme="minorHAnsi"/>
        </w:rPr>
        <w:t>2001 Pechan Report</w:t>
      </w:r>
      <w:r>
        <w:rPr>
          <w:rStyle w:val="FootnoteReference"/>
          <w:rFonts w:asciiTheme="minorHAnsi" w:hAnsiTheme="minorHAnsi"/>
        </w:rPr>
        <w:footnoteReference w:id="14"/>
      </w:r>
      <w:r>
        <w:rPr>
          <w:rFonts w:asciiTheme="minorHAnsi" w:hAnsiTheme="minorHAnsi"/>
        </w:rPr>
        <w:t xml:space="preserve"> </w:t>
      </w:r>
      <w:bookmarkEnd w:id="201"/>
      <w:r>
        <w:rPr>
          <w:rFonts w:asciiTheme="minorHAnsi" w:hAnsiTheme="minorHAnsi"/>
        </w:rPr>
        <w:t xml:space="preserve">covering the then current OTC control measures stated that VOC emissions in the OTR, following the adoption of the 2001 OTC Model Rule for Solvent Cleaning, would be 1.2 pounds per capita per year. This was based upon a control effectiveness of 66%, a rule penetration of 100%, and a rule effectiveness of 100%.  Based upon an estimate of the 2014 population in the OTC region of 67 million people this would correlate with VOC emissions of 111 tpd in the OTR. Assuming that cold cleaning represents 92% of the total degreasing machine universe, the OTR emissions from cold cleaners would be 102 tpd. In 2003, the SCAQMD Rule 1122 operating at 25 g/l for cold degreasers and without a VOC limit for vapor degreasing, had emissions of 3.14 tpd.  Extrapolating those emissions from 2003 SCAQMD (whose population then was 16.5 million) to the OTR in 2014 gives the region VOC emissions from cold cleaners in 2014 of 12.8 tons/day from cold cleaners. Then the VOC reduction experienced in the OTC region in 2014 would be 102 - 12.8 </w:t>
      </w:r>
      <w:r w:rsidR="0060782B">
        <w:rPr>
          <w:noProof/>
        </w:rPr>
        <mc:AlternateContent>
          <mc:Choice Requires="wps">
            <w:drawing>
              <wp:anchor distT="0" distB="0" distL="114300" distR="114300" simplePos="0" relativeHeight="251724800" behindDoc="0" locked="1" layoutInCell="1" allowOverlap="0" wp14:anchorId="37F0C09B" wp14:editId="2A19CA42">
                <wp:simplePos x="0" y="0"/>
                <wp:positionH relativeFrom="margin">
                  <wp:posOffset>2847975</wp:posOffset>
                </wp:positionH>
                <wp:positionV relativeFrom="bottomMargin">
                  <wp:posOffset>659130</wp:posOffset>
                </wp:positionV>
                <wp:extent cx="914400" cy="237490"/>
                <wp:effectExtent l="0" t="0" r="0" b="0"/>
                <wp:wrapNone/>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237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782B" w:rsidRDefault="0060782B" w:rsidP="0060782B">
                            <w:pPr>
                              <w:ind w:right="60"/>
                              <w:rPr>
                                <w:rFonts w:asciiTheme="minorHAnsi" w:hAnsiTheme="minorHAnsi"/>
                                <w:sz w:val="20"/>
                                <w:szCs w:val="20"/>
                              </w:rPr>
                            </w:pPr>
                            <w:hyperlink w:anchor="TOC" w:history="1">
                              <w:r>
                                <w:rPr>
                                  <w:rStyle w:val="Hyperlink"/>
                                  <w:sz w:val="20"/>
                                  <w:szCs w:val="20"/>
                                </w:rPr>
                                <w:t>Back to TOC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0C09B" id="Text Box 200" o:spid="_x0000_s1049" type="#_x0000_t202" style="position:absolute;left:0;text-align:left;margin-left:224.25pt;margin-top:51.9pt;width:1in;height:18.7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WXMlgIAAK4FAAAOAAAAZHJzL2Uyb0RvYy54bWysVE1PGzEQvVfqf7B8L5uEAGXFBqUgqkoR&#10;oELF2fHaZIXtcW0nu+mvZ2zvhkC5UPWy64838zwzb+bsvNOKbITzDZiKjg9GlAjDoW7MY0V/3V99&#10;+UqJD8zUTIERFd0KT89nnz+dtbYUE1iBqoUj6MT4srUVXYVgy6LwfCU08wdghcFLCU6zgFv3WNSO&#10;tehdq2IyGh0XLbjaOuDCezy9zJd0lvxLKXi4kdKLQFRF8W0hfV36LuO3mJ2x8tExu2p4/wz2D6/Q&#10;rDFIunN1yQIja9f85Uo33IEHGQ446AKkbLhIMWA049GbaO5WzIoUCybH212a/P9zy683t440dUUx&#10;m5QYprFI96IL5Bt0JJ5hhlrrSwTeWYSGDi+w0ilabxfAnzxCij1MNvCIjhnppNPxj7ESNESS7S7x&#10;kYfj4el4Oo30HK8mhyfT00RbvBhb58N3AZrERUUd1jU9gG0WPkR6Vg6QyOVBNfVVo1TaRC2JC+XI&#10;hqEKVBjHmNDiFUoZ0lb0+PBolBwbiOYZp0x0I5KaeroYbQ4wrcJWiYhR5qeQmM0U5zvcjHNhdvwJ&#10;HVESqT5i2ONfXvUR4xwHWiRmMGFnrBsDLtf1dcrqpyFlMuP7evscd0xB6JZdltHJoJgl1FsUjIPc&#10;dN7yqwart2A+3DKHXYYFx8kRbvAjFWD2oV9RsgL3573ziEfx4y0lLXZtRf3vNXOCEvXDYFskIWGb&#10;p8306GSCHG7/Zrl/Y9b6AlASY5xRlqdlxAc1LKUD/YADZh5Z8YoZjtwVDcPyIuRZggOKi/k8gbCx&#10;LQsLc2f50CdRm/fdA3O2F3BA5V/D0N+sfKPjjI0FMjBfB5BNEnlMdM5qXwAcCknJ/QCLU2d/n1Av&#10;Y3b2DAAA//8DAFBLAwQUAAYACAAAACEAg1oRdeAAAAALAQAADwAAAGRycy9kb3ducmV2LnhtbEyP&#10;wU7DMBBE75X4B2uRuFTUSUhRCXEqhKjUHnogcOnNjZckIl5HttuGv2d7guPOPM3OlOvJDuKMPvSO&#10;FKSLBARS40xPrYLPj839CkSImoweHKGCHwywrm5mpS6Mu9A7nuvYCg6hUGgFXYxjIWVoOrQ6LNyI&#10;xN6X81ZHPn0rjdcXDreDzJLkUVrdE3/o9IivHTbf9ckq2IfDdn7w2828DkbuEPdvuzQqdXc7vTyD&#10;iDjFPxiu9bk6VNzp6E5kghgU5PlqySgbyQNvYGL5lLFyZCVPM5BVKf9vqH4BAAD//wMAUEsBAi0A&#10;FAAGAAgAAAAhALaDOJL+AAAA4QEAABMAAAAAAAAAAAAAAAAAAAAAAFtDb250ZW50X1R5cGVzXS54&#10;bWxQSwECLQAUAAYACAAAACEAOP0h/9YAAACUAQAACwAAAAAAAAAAAAAAAAAvAQAAX3JlbHMvLnJl&#10;bHNQSwECLQAUAAYACAAAACEArUVlzJYCAACuBQAADgAAAAAAAAAAAAAAAAAuAgAAZHJzL2Uyb0Rv&#10;Yy54bWxQSwECLQAUAAYACAAAACEAg1oRdeAAAAALAQAADwAAAAAAAAAAAAAAAADwBAAAZHJzL2Rv&#10;d25yZXYueG1sUEsFBgAAAAAEAAQA8wAAAP0FAAAAAA==&#10;" o:allowoverlap="f" fillcolor="white [3201]" stroked="f" strokeweight=".5pt">
                <v:path arrowok="t"/>
                <v:textbox>
                  <w:txbxContent>
                    <w:p w:rsidR="0060782B" w:rsidRDefault="0060782B" w:rsidP="0060782B">
                      <w:pPr>
                        <w:ind w:right="60"/>
                        <w:rPr>
                          <w:rFonts w:asciiTheme="minorHAnsi" w:hAnsiTheme="minorHAnsi"/>
                          <w:sz w:val="20"/>
                          <w:szCs w:val="20"/>
                        </w:rPr>
                      </w:pPr>
                      <w:hyperlink w:anchor="TOC" w:history="1">
                        <w:r>
                          <w:rPr>
                            <w:rStyle w:val="Hyperlink"/>
                            <w:sz w:val="20"/>
                            <w:szCs w:val="20"/>
                          </w:rPr>
                          <w:t>Back to TOC</w:t>
                        </w:r>
                      </w:hyperlink>
                    </w:p>
                  </w:txbxContent>
                </v:textbox>
                <w10:wrap anchorx="margin" anchory="margin"/>
                <w10:anchorlock/>
              </v:shape>
            </w:pict>
          </mc:Fallback>
        </mc:AlternateContent>
      </w:r>
      <w:r>
        <w:rPr>
          <w:rFonts w:asciiTheme="minorHAnsi" w:hAnsiTheme="minorHAnsi"/>
        </w:rPr>
        <w:t>tpd = ~89 tpd in the OTR.</w:t>
      </w:r>
    </w:p>
    <w:p w:rsidR="0084709A" w:rsidRDefault="0084709A" w:rsidP="0084709A">
      <w:pPr>
        <w:pStyle w:val="NoSpacing"/>
        <w:spacing w:after="200"/>
        <w:ind w:left="360"/>
        <w:jc w:val="both"/>
        <w:rPr>
          <w:rFonts w:asciiTheme="minorHAnsi" w:hAnsiTheme="minorHAnsi"/>
        </w:rPr>
      </w:pPr>
      <w:r>
        <w:rPr>
          <w:rFonts w:asciiTheme="minorHAnsi" w:hAnsiTheme="minorHAnsi"/>
        </w:rPr>
        <w:lastRenderedPageBreak/>
        <w:t>Later, an arbitrary safety factor was applied to the expected VOC reduction in the OTR resulting in a VOC reduction of 81 tpd</w:t>
      </w:r>
      <w:r>
        <w:rPr>
          <w:rStyle w:val="FootnoteReference"/>
          <w:rFonts w:asciiTheme="minorHAnsi" w:hAnsiTheme="minorHAnsi"/>
        </w:rPr>
        <w:footnoteReference w:id="15"/>
      </w:r>
      <w:r>
        <w:rPr>
          <w:rFonts w:asciiTheme="minorHAnsi" w:hAnsiTheme="minorHAnsi"/>
        </w:rPr>
        <w:t>. Applying this reduction to the 111 solvent degreasing emissions in the OTR post-2002 model rule results in 81/111 = 73% reduction.</w:t>
      </w:r>
    </w:p>
    <w:p w:rsidR="0084709A" w:rsidRDefault="00B31F10" w:rsidP="00B31F10">
      <w:pPr>
        <w:pStyle w:val="Heading3"/>
      </w:pPr>
      <w:bookmarkStart w:id="202" w:name="_Toc459899013"/>
      <w:bookmarkStart w:id="203" w:name="_Ref457550195"/>
      <w:bookmarkStart w:id="204" w:name="_Toc461020971"/>
      <w:bookmarkStart w:id="205" w:name="_Toc461025635"/>
      <w:bookmarkStart w:id="206" w:name="_Toc461025844"/>
      <w:bookmarkStart w:id="207" w:name="_Toc461027114"/>
      <w:r>
        <w:t>2</w:t>
      </w:r>
      <w:r w:rsidR="0084709A">
        <w:t>.5.5</w:t>
      </w:r>
      <w:r w:rsidR="0084709A">
        <w:tab/>
      </w:r>
      <w:r>
        <w:tab/>
      </w:r>
      <w:r w:rsidR="0084709A">
        <w:t>Control Cost Estimate</w:t>
      </w:r>
      <w:bookmarkEnd w:id="202"/>
      <w:bookmarkEnd w:id="203"/>
      <w:bookmarkEnd w:id="204"/>
      <w:bookmarkEnd w:id="205"/>
      <w:bookmarkEnd w:id="206"/>
      <w:bookmarkEnd w:id="207"/>
    </w:p>
    <w:p w:rsidR="0084709A" w:rsidRDefault="0084709A" w:rsidP="0084709A">
      <w:pPr>
        <w:ind w:left="360"/>
        <w:jc w:val="both"/>
        <w:rPr>
          <w:rFonts w:asciiTheme="minorHAnsi" w:hAnsiTheme="minorHAnsi"/>
          <w:szCs w:val="24"/>
        </w:rPr>
      </w:pPr>
      <w:r>
        <w:rPr>
          <w:rFonts w:asciiTheme="minorHAnsi" w:hAnsiTheme="minorHAnsi"/>
        </w:rPr>
        <w:t>Control costs are expected to be in the range of $1,400 per ton VOC reduced, based on data presented in the SCAQMD Staff Report for the 2001 amendments to Rule 1122.</w:t>
      </w:r>
      <w:r>
        <w:rPr>
          <w:rFonts w:asciiTheme="minorHAnsi" w:hAnsiTheme="minorHAnsi"/>
          <w:b/>
          <w:noProof/>
        </w:rPr>
        <w:t xml:space="preserve"> </w:t>
      </w:r>
    </w:p>
    <w:p w:rsidR="0084709A" w:rsidRDefault="00B31F10" w:rsidP="00B31F10">
      <w:pPr>
        <w:pStyle w:val="Heading3"/>
      </w:pPr>
      <w:bookmarkStart w:id="208" w:name="_Toc459899014"/>
      <w:bookmarkStart w:id="209" w:name="_Toc461020972"/>
      <w:bookmarkStart w:id="210" w:name="_Toc461025636"/>
      <w:bookmarkStart w:id="211" w:name="_Toc461025845"/>
      <w:bookmarkStart w:id="212" w:name="_Toc461027115"/>
      <w:r>
        <w:t>2</w:t>
      </w:r>
      <w:r w:rsidR="0084709A">
        <w:t>.5.6</w:t>
      </w:r>
      <w:r w:rsidR="0084709A">
        <w:tab/>
      </w:r>
      <w:r>
        <w:tab/>
      </w:r>
      <w:r w:rsidR="0084709A">
        <w:t>Emissions Reduction Benefits for Other Pollutants</w:t>
      </w:r>
      <w:bookmarkEnd w:id="208"/>
      <w:bookmarkEnd w:id="209"/>
      <w:bookmarkEnd w:id="210"/>
      <w:bookmarkEnd w:id="211"/>
      <w:bookmarkEnd w:id="212"/>
    </w:p>
    <w:p w:rsidR="0084709A" w:rsidRDefault="0084709A" w:rsidP="0084709A">
      <w:pPr>
        <w:pStyle w:val="NoSpacing"/>
        <w:ind w:left="360"/>
        <w:jc w:val="both"/>
        <w:rPr>
          <w:rFonts w:asciiTheme="minorHAnsi" w:hAnsiTheme="minorHAnsi"/>
        </w:rPr>
      </w:pPr>
      <w:r>
        <w:rPr>
          <w:rFonts w:asciiTheme="minorHAnsi" w:hAnsiTheme="minorHAnsi"/>
        </w:rPr>
        <w:t>Halogenated solvents, like perchloroethylene, may be used under this new solvent degreaser model rule (they are not banned) but then the federal NESHAP rule will regulate certain aspects of that solvents use. States are encouraged to add such restrictions to their rendition of the new solvent degreasing model rule as they require.  The federal rule can be found at 40 CFR Part 63 Subpart T. Note that if the concentration of the covered halogenated solvents is below 5 wt % then Subpart T is not applicable.</w:t>
      </w:r>
    </w:p>
    <w:p w:rsidR="0084709A" w:rsidRDefault="00B31F10" w:rsidP="00B31F10">
      <w:pPr>
        <w:pStyle w:val="Heading2"/>
      </w:pPr>
      <w:bookmarkStart w:id="213" w:name="_Ref457550231"/>
      <w:bookmarkStart w:id="214" w:name="_Toc459899015"/>
      <w:bookmarkStart w:id="215" w:name="_Toc461020973"/>
      <w:bookmarkStart w:id="216" w:name="_Toc461025637"/>
      <w:bookmarkStart w:id="217" w:name="_Toc461025846"/>
      <w:bookmarkStart w:id="218" w:name="_Toc461027116"/>
      <w:r>
        <w:t>2</w:t>
      </w:r>
      <w:r w:rsidR="0084709A">
        <w:t>.6</w:t>
      </w:r>
      <w:r w:rsidR="0084709A">
        <w:tab/>
      </w:r>
      <w:bookmarkEnd w:id="213"/>
      <w:r w:rsidR="0084709A">
        <w:t>Appendices</w:t>
      </w:r>
      <w:bookmarkEnd w:id="214"/>
      <w:bookmarkEnd w:id="215"/>
      <w:bookmarkEnd w:id="216"/>
      <w:bookmarkEnd w:id="217"/>
      <w:bookmarkEnd w:id="218"/>
    </w:p>
    <w:p w:rsidR="0084709A" w:rsidRDefault="00B31F10" w:rsidP="00B31F10">
      <w:pPr>
        <w:pStyle w:val="Heading3"/>
      </w:pPr>
      <w:bookmarkStart w:id="219" w:name="_Toc461020974"/>
      <w:bookmarkStart w:id="220" w:name="_Toc459899016"/>
      <w:bookmarkStart w:id="221" w:name="_Toc461025638"/>
      <w:bookmarkStart w:id="222" w:name="_Toc461025847"/>
      <w:bookmarkStart w:id="223" w:name="_Toc461027117"/>
      <w:bookmarkEnd w:id="172"/>
      <w:r>
        <w:t>2</w:t>
      </w:r>
      <w:r w:rsidR="0084709A">
        <w:t>.6.1</w:t>
      </w:r>
      <w:r w:rsidR="0084709A">
        <w:tab/>
      </w:r>
      <w:r>
        <w:tab/>
      </w:r>
      <w:r w:rsidR="0084709A">
        <w:t>Appendix A:  Data spreadsheets on VOC emissions calculations</w:t>
      </w:r>
      <w:bookmarkEnd w:id="219"/>
      <w:bookmarkEnd w:id="220"/>
      <w:bookmarkEnd w:id="221"/>
      <w:bookmarkEnd w:id="222"/>
      <w:bookmarkEnd w:id="223"/>
    </w:p>
    <w:p w:rsidR="0084709A" w:rsidRDefault="0060782B">
      <w:r>
        <w:rPr>
          <w:noProof/>
        </w:rPr>
        <mc:AlternateContent>
          <mc:Choice Requires="wps">
            <w:drawing>
              <wp:anchor distT="0" distB="0" distL="114300" distR="114300" simplePos="0" relativeHeight="251726848" behindDoc="0" locked="1" layoutInCell="1" allowOverlap="0" wp14:anchorId="37F0C09B" wp14:editId="2A19CA42">
                <wp:simplePos x="0" y="0"/>
                <wp:positionH relativeFrom="margin">
                  <wp:posOffset>2809875</wp:posOffset>
                </wp:positionH>
                <wp:positionV relativeFrom="bottomMargin">
                  <wp:posOffset>841375</wp:posOffset>
                </wp:positionV>
                <wp:extent cx="914400" cy="237490"/>
                <wp:effectExtent l="0" t="0" r="0" b="0"/>
                <wp:wrapNone/>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237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782B" w:rsidRDefault="0060782B" w:rsidP="0060782B">
                            <w:pPr>
                              <w:ind w:right="60"/>
                              <w:rPr>
                                <w:rFonts w:asciiTheme="minorHAnsi" w:hAnsiTheme="minorHAnsi"/>
                                <w:sz w:val="20"/>
                                <w:szCs w:val="20"/>
                              </w:rPr>
                            </w:pPr>
                            <w:hyperlink w:anchor="TOC" w:history="1">
                              <w:r>
                                <w:rPr>
                                  <w:rStyle w:val="Hyperlink"/>
                                  <w:sz w:val="20"/>
                                  <w:szCs w:val="20"/>
                                </w:rPr>
                                <w:t>Back to TOC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0C09B" id="Text Box 201" o:spid="_x0000_s1050" type="#_x0000_t202" style="position:absolute;margin-left:221.25pt;margin-top:66.25pt;width:1in;height:18.7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01jlAIAAK4FAAAOAAAAZHJzL2Uyb0RvYy54bWysVEtPGzEQvlfqf7B8LxtCeK3YoBREVSkC&#10;1FBxdrw2WWF7XNvJbvrrO7Z3Q6BcqHrZtT3fvL+Zi8tOK7IRzjdgKnp4MKJEGA51Y54q+vPh5ssZ&#10;JT4wUzMFRlR0Kzy9nH7+dNHaUoxhBaoWjqAR48vWVnQVgi2LwvOV0MwfgBUGhRKcZgGv7qmoHWvR&#10;ulbFeDQ6KVpwtXXAhff4ep2FdJrsSyl4uJPSi0BURTG2kL4ufZfxW0wvWPnkmF01vA+D/UMUmjUG&#10;ne5MXbPAyNo1f5nSDXfgQYYDDroAKRsuUg6YzeHoTTaLFbMi5YLF8XZXJv//zPLbzb0jTV1R9E+J&#10;YRqb9CC6QL5CR+IbVqi1vkTgwiI0dCjATqdsvZ0Df/YIKfYwWcEjOlakk07HP+ZKUBGbsN0VPvrh&#10;+Hh+OJmMUMJRND46nZynxhQvytb58E2AJvFQUYd9TQGwzdyH6J6VAyT68qCa+qZRKl0il8SVcmTD&#10;kAUqpJxQ4xVKGdJW9OToeJQMG4jq2bIy0YxIbOrdxWxzgukUtkpEjDI/hMRqpjzf8c04F2bnP6Ej&#10;SqKrjyj2+JeoPqKc80CN5BlM2CnrxoDLfX1dsvp5KJnM+L7fPucdSxC6ZZdpdDYwZgn1FgnjIA+d&#10;t/ymwe7NmQ/3zOGUYcNxc4Q7/EgFWH3oT5SswP1+7z3ikfwopaTFqa2o/7VmTlCivhsci0QkHPN0&#10;mRyfjtGH25cs9yVmra8AKYHEx+jSMeKDGo7SgX7EBTOLXlHEDEffFQ3D8SrkXYILiovZLIFwsC0L&#10;c7OwfJiTyM2H7pE52xM4IPNvYZhvVr7hccbGBhmYrQPIJpE8FjpXtW8ALoXE/X6Bxa2zf0+olzU7&#10;/QMAAP//AwBQSwMEFAAGAAgAAAAhAB7bOY7gAAAACwEAAA8AAABkcnMvZG93bnJldi54bWxMjzFv&#10;wjAQhfdK/Q/WVeqCigOFCEIcVFVFgoGhaRc2Ex9J1Pgc2QbSf99jKtu7e0/vvsvXg+3EBX1oHSmY&#10;jBMQSJUzLdUKvr82LwsQIWoyunOECn4xwLp4fMh1ZtyVPvFSxlpwCYVMK2hi7DMpQ9Wg1WHseiT2&#10;Ts5bHXn0tTReX7ncdnKaJKm0uiW+0Oge3xusfsqzVbAPh+3o4LebURmM3CHuP3aTqNTz0/C2AhFx&#10;iP9huOEzOhTMdHRnMkF0Cmaz6ZyjbLzeBCfmi5TFkTfpcgmyyOX9D8UfAAAA//8DAFBLAQItABQA&#10;BgAIAAAAIQC2gziS/gAAAOEBAAATAAAAAAAAAAAAAAAAAAAAAABbQ29udGVudF9UeXBlc10ueG1s&#10;UEsBAi0AFAAGAAgAAAAhADj9If/WAAAAlAEAAAsAAAAAAAAAAAAAAAAALwEAAF9yZWxzLy5yZWxz&#10;UEsBAi0AFAAGAAgAAAAhAPmvTWOUAgAArgUAAA4AAAAAAAAAAAAAAAAALgIAAGRycy9lMm9Eb2Mu&#10;eG1sUEsBAi0AFAAGAAgAAAAhAB7bOY7gAAAACwEAAA8AAAAAAAAAAAAAAAAA7gQAAGRycy9kb3du&#10;cmV2LnhtbFBLBQYAAAAABAAEAPMAAAD7BQAAAAA=&#10;" o:allowoverlap="f" fillcolor="white [3201]" stroked="f" strokeweight=".5pt">
                <v:path arrowok="t"/>
                <v:textbox>
                  <w:txbxContent>
                    <w:p w:rsidR="0060782B" w:rsidRDefault="0060782B" w:rsidP="0060782B">
                      <w:pPr>
                        <w:ind w:right="60"/>
                        <w:rPr>
                          <w:rFonts w:asciiTheme="minorHAnsi" w:hAnsiTheme="minorHAnsi"/>
                          <w:sz w:val="20"/>
                          <w:szCs w:val="20"/>
                        </w:rPr>
                      </w:pPr>
                      <w:hyperlink w:anchor="TOC" w:history="1">
                        <w:r>
                          <w:rPr>
                            <w:rStyle w:val="Hyperlink"/>
                            <w:sz w:val="20"/>
                            <w:szCs w:val="20"/>
                          </w:rPr>
                          <w:t>Back to TOC</w:t>
                        </w:r>
                      </w:hyperlink>
                    </w:p>
                  </w:txbxContent>
                </v:textbox>
                <w10:wrap anchorx="margin" anchory="margin"/>
                <w10:anchorlock/>
              </v:shape>
            </w:pict>
          </mc:Fallback>
        </mc:AlternateContent>
      </w:r>
      <w:r w:rsidR="0084709A">
        <w:br w:type="page"/>
      </w:r>
    </w:p>
    <w:p w:rsidR="009B2F9B" w:rsidRPr="002A3B39" w:rsidRDefault="0025362E" w:rsidP="0025362E">
      <w:pPr>
        <w:pStyle w:val="Heading1"/>
      </w:pPr>
      <w:bookmarkStart w:id="224" w:name="_Toc461025639"/>
      <w:bookmarkStart w:id="225" w:name="_Toc461025848"/>
      <w:bookmarkStart w:id="226" w:name="_Toc461027118"/>
      <w:r>
        <w:lastRenderedPageBreak/>
        <w:t>3</w:t>
      </w:r>
      <w:r w:rsidR="009B2F9B" w:rsidRPr="002A3B39">
        <w:t>.0</w:t>
      </w:r>
      <w:r w:rsidR="009B2F9B">
        <w:tab/>
      </w:r>
      <w:r w:rsidR="009B2F9B" w:rsidRPr="00EF5EA2">
        <w:t>NITROGEN</w:t>
      </w:r>
      <w:r w:rsidR="009B2F9B" w:rsidRPr="002A3B39">
        <w:rPr>
          <w:snapToGrid w:val="0"/>
        </w:rPr>
        <w:t xml:space="preserve"> OXIDES (NOx)</w:t>
      </w:r>
      <w:r w:rsidR="009B2F9B" w:rsidRPr="002A3B39">
        <w:t xml:space="preserve"> ANALYSIS METHODS</w:t>
      </w:r>
      <w:bookmarkEnd w:id="224"/>
      <w:bookmarkEnd w:id="225"/>
      <w:bookmarkEnd w:id="226"/>
    </w:p>
    <w:p w:rsidR="009B2F9B" w:rsidRDefault="009B2F9B" w:rsidP="005F715D">
      <w:pPr>
        <w:spacing w:before="200" w:after="120" w:line="240" w:lineRule="auto"/>
        <w:jc w:val="both"/>
        <w:rPr>
          <w:rFonts w:asciiTheme="minorHAnsi" w:hAnsiTheme="minorHAnsi"/>
        </w:rPr>
      </w:pPr>
      <w:r w:rsidRPr="00A2277A">
        <w:rPr>
          <w:rFonts w:asciiTheme="minorHAnsi" w:hAnsiTheme="minorHAnsi"/>
        </w:rPr>
        <w:t xml:space="preserve">This section describes the analysis of the 2009/2010 OTC control measures to reduce </w:t>
      </w:r>
      <w:r w:rsidRPr="00A2277A">
        <w:rPr>
          <w:rFonts w:asciiTheme="minorHAnsi" w:hAnsiTheme="minorHAnsi"/>
          <w:snapToGrid w:val="0"/>
        </w:rPr>
        <w:t>NO</w:t>
      </w:r>
      <w:r w:rsidRPr="00A2277A">
        <w:rPr>
          <w:rFonts w:asciiTheme="minorHAnsi" w:hAnsiTheme="minorHAnsi"/>
          <w:snapToGrid w:val="0"/>
          <w:vertAlign w:val="subscript"/>
        </w:rPr>
        <w:t>x</w:t>
      </w:r>
      <w:r w:rsidRPr="00A2277A">
        <w:rPr>
          <w:rFonts w:asciiTheme="minorHAnsi" w:hAnsiTheme="minorHAnsi"/>
        </w:rPr>
        <w:t xml:space="preserve"> emissions from four source categories: </w:t>
      </w:r>
    </w:p>
    <w:p w:rsidR="009B2F9B" w:rsidRPr="00A2277A" w:rsidRDefault="009B2F9B" w:rsidP="0081054E">
      <w:pPr>
        <w:pStyle w:val="ListParagraph"/>
        <w:numPr>
          <w:ilvl w:val="0"/>
          <w:numId w:val="15"/>
        </w:numPr>
        <w:spacing w:after="60" w:line="240" w:lineRule="auto"/>
        <w:contextualSpacing w:val="0"/>
        <w:jc w:val="both"/>
      </w:pPr>
      <w:r w:rsidRPr="00A2277A">
        <w:t>Stationary Generators;</w:t>
      </w:r>
    </w:p>
    <w:p w:rsidR="009B2F9B" w:rsidRPr="00B02D16" w:rsidRDefault="009B2F9B" w:rsidP="0081054E">
      <w:pPr>
        <w:pStyle w:val="ListParagraph"/>
        <w:numPr>
          <w:ilvl w:val="0"/>
          <w:numId w:val="15"/>
        </w:numPr>
        <w:spacing w:after="60" w:line="240" w:lineRule="auto"/>
        <w:contextualSpacing w:val="0"/>
        <w:jc w:val="both"/>
      </w:pPr>
      <w:r w:rsidRPr="00B02D16">
        <w:t>New Natural Gas-Fired Boilers, Steam Generators, Process Heaters, and Water Heaters 75,000 BTUs/hr to 5,000,000 BTUs/hr;</w:t>
      </w:r>
    </w:p>
    <w:p w:rsidR="009B2F9B" w:rsidRPr="00A2277A" w:rsidRDefault="009B2F9B" w:rsidP="0081054E">
      <w:pPr>
        <w:pStyle w:val="ListParagraph"/>
        <w:numPr>
          <w:ilvl w:val="0"/>
          <w:numId w:val="15"/>
        </w:numPr>
        <w:spacing w:after="60" w:line="240" w:lineRule="auto"/>
        <w:contextualSpacing w:val="0"/>
        <w:jc w:val="both"/>
      </w:pPr>
      <w:r w:rsidRPr="00A2277A">
        <w:t>High Electric Demand Day Combustion Turbines (HEDDCT); and</w:t>
      </w:r>
    </w:p>
    <w:p w:rsidR="009B2F9B" w:rsidRDefault="009B2F9B" w:rsidP="0081054E">
      <w:pPr>
        <w:pStyle w:val="ListParagraph"/>
        <w:numPr>
          <w:ilvl w:val="0"/>
          <w:numId w:val="15"/>
        </w:numPr>
        <w:spacing w:after="0" w:line="240" w:lineRule="auto"/>
        <w:contextualSpacing w:val="0"/>
        <w:jc w:val="both"/>
      </w:pPr>
      <w:r w:rsidRPr="00A2277A">
        <w:t xml:space="preserve">Oil and Gas Boilers Serving Electricity Generating Units (EGUs). </w:t>
      </w:r>
    </w:p>
    <w:p w:rsidR="009B2F9B" w:rsidRPr="00A2277A" w:rsidRDefault="009B2F9B" w:rsidP="0081054E">
      <w:pPr>
        <w:spacing w:before="120" w:after="120" w:line="240" w:lineRule="auto"/>
        <w:jc w:val="both"/>
        <w:rPr>
          <w:rFonts w:asciiTheme="minorHAnsi" w:hAnsiTheme="minorHAnsi"/>
        </w:rPr>
      </w:pPr>
      <w:r w:rsidRPr="00A2277A">
        <w:rPr>
          <w:rFonts w:asciiTheme="minorHAnsi" w:hAnsiTheme="minorHAnsi"/>
        </w:rPr>
        <w:t xml:space="preserve">For each of the categories, there are separate subsections that discuss existing Federal and state rules, summarize the requirements of the model OTC control measures, and describe the methods used to quantify the emissions reduction benefit, provide an estimate of the anticipated costs of the control measure, and identify other emissions reduction benefits.   </w:t>
      </w:r>
    </w:p>
    <w:p w:rsidR="009B2F9B" w:rsidRPr="00A2277A" w:rsidRDefault="0025362E" w:rsidP="0025362E">
      <w:pPr>
        <w:pStyle w:val="Heading2"/>
      </w:pPr>
      <w:bookmarkStart w:id="227" w:name="_Toc461020975"/>
      <w:bookmarkStart w:id="228" w:name="_Toc461025640"/>
      <w:bookmarkStart w:id="229" w:name="_Toc461025849"/>
      <w:bookmarkStart w:id="230" w:name="_Toc461027119"/>
      <w:r>
        <w:t>3</w:t>
      </w:r>
      <w:r w:rsidR="009B2F9B">
        <w:t>.1</w:t>
      </w:r>
      <w:r w:rsidR="009B2F9B">
        <w:tab/>
      </w:r>
      <w:r w:rsidR="009B2F9B" w:rsidRPr="00A2277A">
        <w:t>Stationary Generators</w:t>
      </w:r>
      <w:bookmarkEnd w:id="227"/>
      <w:bookmarkEnd w:id="228"/>
      <w:bookmarkEnd w:id="229"/>
      <w:bookmarkEnd w:id="230"/>
    </w:p>
    <w:p w:rsidR="009B2F9B" w:rsidRPr="00A2277A" w:rsidRDefault="009B2F9B" w:rsidP="0081054E">
      <w:pPr>
        <w:pStyle w:val="NoSpacing"/>
        <w:spacing w:after="120"/>
        <w:jc w:val="both"/>
        <w:rPr>
          <w:rFonts w:asciiTheme="minorHAnsi" w:hAnsiTheme="minorHAnsi"/>
        </w:rPr>
      </w:pPr>
      <w:r w:rsidRPr="00A2277A">
        <w:rPr>
          <w:rFonts w:asciiTheme="minorHAnsi" w:hAnsiTheme="minorHAnsi"/>
        </w:rPr>
        <w:t>Fossil fuel-fired generators powered by reciprocating internal combustion engines emit very high rates of air contaminants, and contribute to the formation of ground-level ozone and fine particulate matter.  Among other things, the purpose of a stationary generator regulation is to help ensure that the air emissions from new and existing stationary generators do not cause or contribute to these existing air quality problems; on a rate, tons per day (TPD), or tons per year (TPY) basis.  A stationary generator regulation would require emissions standards, recordkeeping, reporting, operating, and notification requirements for stationary generators, both for emergency and non-emergency uses.  The model regulation also allows non-emergency generators to take credit for fuels that would otherwise be flared, combined heat and power applications, and the use of non-emitting resources.</w:t>
      </w:r>
    </w:p>
    <w:p w:rsidR="009B2F9B" w:rsidRPr="00A2277A" w:rsidRDefault="009B2F9B" w:rsidP="0081054E">
      <w:pPr>
        <w:pStyle w:val="NoSpacing"/>
        <w:spacing w:after="120"/>
        <w:jc w:val="both"/>
        <w:rPr>
          <w:rFonts w:asciiTheme="minorHAnsi" w:hAnsiTheme="minorHAnsi"/>
        </w:rPr>
      </w:pPr>
      <w:r w:rsidRPr="00A2277A">
        <w:rPr>
          <w:rFonts w:asciiTheme="minorHAnsi" w:hAnsiTheme="minorHAnsi"/>
        </w:rPr>
        <w:t>Emergency generators have an important function in providing electricity when there is grid failure and alternative electricity generation is needed in order to avoid damages and loss.  For example, hospitals and other health care facilities use emergency backup generators to provide power whenever ordinary electric service is not available.  Emergency situations that require backup generation may occur at any time of the year.</w:t>
      </w:r>
    </w:p>
    <w:p w:rsidR="009B2F9B" w:rsidRPr="00A2277A" w:rsidRDefault="009B2F9B" w:rsidP="0081054E">
      <w:pPr>
        <w:pStyle w:val="NoSpacing"/>
        <w:spacing w:after="120"/>
        <w:jc w:val="both"/>
        <w:rPr>
          <w:rFonts w:asciiTheme="minorHAnsi" w:hAnsiTheme="minorHAnsi"/>
        </w:rPr>
      </w:pPr>
      <w:r w:rsidRPr="00A2277A">
        <w:rPr>
          <w:rFonts w:asciiTheme="minorHAnsi" w:hAnsiTheme="minorHAnsi"/>
        </w:rPr>
        <w:t xml:space="preserve">Some organizations that aggregate stationary generators for the financial benefit of participating in wholesale demand response programs have noted the ability of these stationary generators to forestall serious voltage changes or electrical blackout and, therefore, request the ability to operate additional hours under “emergency demand response” conditions in order to avoid potential operation problems on the system. However, such requested additional operating hours could cover a wide range of operational conditions that occur on the system, from a reserve shortage deficiency to actual brownouts and blackouts.  No one would deny that these stationary generators, as a last resort, could certainly help forestall serious system emergencies.  Operation of such generators outside of periods of system emergencies may result in significant financial gains for the generator owners and may result in operation of these stationary generators during peak demand periods rather than only during periods of actual system emergencies.  In fact, the </w:t>
      </w:r>
      <w:r w:rsidR="0060782B">
        <w:rPr>
          <w:noProof/>
        </w:rPr>
        <mc:AlternateContent>
          <mc:Choice Requires="wps">
            <w:drawing>
              <wp:anchor distT="0" distB="0" distL="114300" distR="114300" simplePos="0" relativeHeight="251728896" behindDoc="0" locked="1" layoutInCell="1" allowOverlap="0" wp14:anchorId="37F0C09B" wp14:editId="2A19CA42">
                <wp:simplePos x="0" y="0"/>
                <wp:positionH relativeFrom="margin">
                  <wp:posOffset>2743200</wp:posOffset>
                </wp:positionH>
                <wp:positionV relativeFrom="bottomMargin">
                  <wp:posOffset>229235</wp:posOffset>
                </wp:positionV>
                <wp:extent cx="914400" cy="237490"/>
                <wp:effectExtent l="0" t="0" r="0" b="0"/>
                <wp:wrapNone/>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237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782B" w:rsidRDefault="0060782B" w:rsidP="0060782B">
                            <w:pPr>
                              <w:ind w:right="60"/>
                              <w:rPr>
                                <w:rFonts w:asciiTheme="minorHAnsi" w:hAnsiTheme="minorHAnsi"/>
                                <w:sz w:val="20"/>
                                <w:szCs w:val="20"/>
                              </w:rPr>
                            </w:pPr>
                            <w:hyperlink w:anchor="TOC" w:history="1">
                              <w:r>
                                <w:rPr>
                                  <w:rStyle w:val="Hyperlink"/>
                                  <w:sz w:val="20"/>
                                  <w:szCs w:val="20"/>
                                </w:rPr>
                                <w:t>Back to TOC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0C09B" id="Text Box 202" o:spid="_x0000_s1051" type="#_x0000_t202" style="position:absolute;left:0;text-align:left;margin-left:3in;margin-top:18.05pt;width:1in;height:18.7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RwmAIAAK4FAAAOAAAAZHJzL2Uyb0RvYy54bWysVFFP2zAQfp+0/2D5fSQtBUZEiroipkkV&#10;oMHEs+vYbYTj82y3SffrOdtJKYwXpr0kZ993d7677+7ismsU2QrratAlHR3llAjNoar1qqS/Hq6/&#10;fKXEeaYrpkCLku6Eo5fTz58uWlOIMaxBVcISdKJd0ZqSrr03RZY5vhYNc0dghEalBNswj0e7yirL&#10;WvTeqGyc56dZC7YyFrhwDm+vkpJOo38pBfe3UjrhiSopvs3Hr43fZfhm0wtWrCwz65r3z2D/8IqG&#10;1RqD7l1dMc/IxtZ/uWpqbsGB9EccmgykrLmIOWA2o/xNNvdrZkTMBYvjzL5M7v+55TfbO0vqqqTj&#10;fEyJZg026UF0nnyDjoQ7rFBrXIHAe4NQ36ECOx2zdWYB/MkhJDvAJAOH6FCRTtom/DFXgobYhN2+&#10;8CEOx8vz0WSSo4ajanx8NjmPjclejI11/ruAhgShpBb7Gh/AtgvnQ3hWDJAQy4Gqq+taqXgIXBJz&#10;ZcmWIQuUH4Wc0OIVSmnSlvT0+CSPjjUE84RTOrgRkU19uJBtSjBKfqdEwCj9U0isZszzndiMc6H3&#10;8SM6oCSG+ohhj3951UeMUx5oESOD9nvjptZgU19fl6x6GkomE77vt0t5hxL4btklGp0PjFlCtUPC&#10;WEhD5wy/rrF7C+b8HbM4Zdhw3Bz+Fj9SAVYfeomSNdg/790HPJIftZS0OLUldb83zApK1A+NYxGJ&#10;hGMeD5OTszHGsIea5aFGb5o5ICVGuKMMj2LAezWI0kLziAtmFqKiimmOsUvqB3Hu0y7BBcXFbBZB&#10;ONiG+YW+N3yYk8DNh+6RWdMT2CPzb2CYb1a84XHChgZpmG08yDqSPBQ6VbVvAC6FyOR+gYWtc3iO&#10;qJc1O30GAAD//wMAUEsDBBQABgAIAAAAIQBDoJfR4AAAAAkBAAAPAAAAZHJzL2Rvd25yZXYueG1s&#10;TI/BTsMwEETvSPyDtUhcKuqkoSkKcSqEqNQeeiBw6c2NlyQiXke224a/ZznR4+yMZt+U68kO4ow+&#10;9I4UpPMEBFLjTE+tgs+PzcMTiBA1GT04QgU/GGBd3d6UujDuQu94rmMruIRCoRV0MY6FlKHp0Oow&#10;dyMSe1/OWx1Z+lYary9cbge5SJJcWt0Tf+j0iK8dNt/1ySrYh8N2dvDbzawORu4Q92+7NCp1fze9&#10;PIOIOMX/MPzhMzpUzHR0JzJBDAoeswVviQqyPAXBgeUq58NRwSpbgqxKeb2g+gUAAP//AwBQSwEC&#10;LQAUAAYACAAAACEAtoM4kv4AAADhAQAAEwAAAAAAAAAAAAAAAAAAAAAAW0NvbnRlbnRfVHlwZXNd&#10;LnhtbFBLAQItABQABgAIAAAAIQA4/SH/1gAAAJQBAAALAAAAAAAAAAAAAAAAAC8BAABfcmVscy8u&#10;cmVsc1BLAQItABQABgAIAAAAIQA+jtRwmAIAAK4FAAAOAAAAAAAAAAAAAAAAAC4CAABkcnMvZTJv&#10;RG9jLnhtbFBLAQItABQABgAIAAAAIQBDoJfR4AAAAAkBAAAPAAAAAAAAAAAAAAAAAPIEAABkcnMv&#10;ZG93bnJldi54bWxQSwUGAAAAAAQABADzAAAA/wUAAAAA&#10;" o:allowoverlap="f" fillcolor="white [3201]" stroked="f" strokeweight=".5pt">
                <v:path arrowok="t"/>
                <v:textbox>
                  <w:txbxContent>
                    <w:p w:rsidR="0060782B" w:rsidRDefault="0060782B" w:rsidP="0060782B">
                      <w:pPr>
                        <w:ind w:right="60"/>
                        <w:rPr>
                          <w:rFonts w:asciiTheme="minorHAnsi" w:hAnsiTheme="minorHAnsi"/>
                          <w:sz w:val="20"/>
                          <w:szCs w:val="20"/>
                        </w:rPr>
                      </w:pPr>
                      <w:hyperlink w:anchor="TOC" w:history="1">
                        <w:r>
                          <w:rPr>
                            <w:rStyle w:val="Hyperlink"/>
                            <w:sz w:val="20"/>
                            <w:szCs w:val="20"/>
                          </w:rPr>
                          <w:t>Back to TOC</w:t>
                        </w:r>
                      </w:hyperlink>
                    </w:p>
                  </w:txbxContent>
                </v:textbox>
                <w10:wrap anchorx="margin" anchory="margin"/>
                <w10:anchorlock/>
              </v:shape>
            </w:pict>
          </mc:Fallback>
        </mc:AlternateContent>
      </w:r>
      <w:r w:rsidRPr="00A2277A">
        <w:rPr>
          <w:rFonts w:asciiTheme="minorHAnsi" w:hAnsiTheme="minorHAnsi"/>
        </w:rPr>
        <w:t xml:space="preserve">ability for these stationary generators to participate in demand response markets may actually </w:t>
      </w:r>
      <w:r w:rsidRPr="00A2277A">
        <w:rPr>
          <w:rFonts w:asciiTheme="minorHAnsi" w:hAnsiTheme="minorHAnsi"/>
        </w:rPr>
        <w:lastRenderedPageBreak/>
        <w:t>move the economic dispatch curve, such that these types of aggregated units could be available at a lower cost on the dispatch curve displacing somewhat higher cost, but more efficient and cleaner generation.</w:t>
      </w:r>
    </w:p>
    <w:p w:rsidR="009B2F9B" w:rsidRPr="00A2277A" w:rsidRDefault="009B2F9B" w:rsidP="0081054E">
      <w:pPr>
        <w:pStyle w:val="NoSpacing"/>
        <w:jc w:val="both"/>
        <w:rPr>
          <w:rFonts w:asciiTheme="minorHAnsi" w:hAnsiTheme="minorHAnsi"/>
        </w:rPr>
      </w:pPr>
      <w:r w:rsidRPr="00A2277A">
        <w:rPr>
          <w:rFonts w:asciiTheme="minorHAnsi" w:hAnsiTheme="minorHAnsi"/>
        </w:rPr>
        <w:t xml:space="preserve">Nonetheless, electric utilities have devised demand response programs that are contrary to the anticipated use of emergency power generation and whose impacts are directly and adversely related to increased air emissions.  Not only do these generators used for demand response emit hazardous air pollutants  during this contrary operation, such operation often occurs exactly when conditions leading to the formation of ground-level ozone are at their worst, on the hottest days of the summer. Older generators are very high </w:t>
      </w:r>
      <w:r w:rsidRPr="00A2277A">
        <w:rPr>
          <w:rFonts w:asciiTheme="minorHAnsi" w:hAnsiTheme="minorHAnsi"/>
          <w:snapToGrid w:val="0"/>
        </w:rPr>
        <w:t>NO</w:t>
      </w:r>
      <w:r w:rsidRPr="00A2277A">
        <w:rPr>
          <w:rFonts w:asciiTheme="minorHAnsi" w:hAnsiTheme="minorHAnsi"/>
          <w:snapToGrid w:val="0"/>
          <w:vertAlign w:val="subscript"/>
        </w:rPr>
        <w:t>x</w:t>
      </w:r>
      <w:r w:rsidRPr="00A2277A">
        <w:rPr>
          <w:rFonts w:asciiTheme="minorHAnsi" w:hAnsiTheme="minorHAnsi"/>
        </w:rPr>
        <w:t xml:space="preserve"> emitters, and non-emergency generation during peaking times has the potential to increase emissions. Thus, the OTC stationary generator model regulation aims to ensure that the emissions from all stationary generation, for both emergency and non-emergency uses, are controlled. </w:t>
      </w:r>
    </w:p>
    <w:p w:rsidR="009B2F9B" w:rsidRPr="00A2277A" w:rsidRDefault="0025362E" w:rsidP="0025362E">
      <w:pPr>
        <w:pStyle w:val="Heading3"/>
      </w:pPr>
      <w:bookmarkStart w:id="231" w:name="_Toc461020976"/>
      <w:bookmarkStart w:id="232" w:name="_Toc461025641"/>
      <w:bookmarkStart w:id="233" w:name="_Toc461025850"/>
      <w:bookmarkStart w:id="234" w:name="_Toc461027120"/>
      <w:r>
        <w:t>3</w:t>
      </w:r>
      <w:r w:rsidR="009B2F9B">
        <w:t>.1.1</w:t>
      </w:r>
      <w:r w:rsidR="009B2F9B">
        <w:tab/>
      </w:r>
      <w:r>
        <w:tab/>
      </w:r>
      <w:r w:rsidR="009B2F9B" w:rsidRPr="00A2277A">
        <w:t>Federal Standards</w:t>
      </w:r>
      <w:bookmarkEnd w:id="231"/>
      <w:bookmarkEnd w:id="232"/>
      <w:bookmarkEnd w:id="233"/>
      <w:bookmarkEnd w:id="234"/>
    </w:p>
    <w:p w:rsidR="009B2F9B" w:rsidRPr="00A2277A" w:rsidRDefault="009B2F9B" w:rsidP="0081054E">
      <w:pPr>
        <w:pStyle w:val="NoSpacing"/>
        <w:ind w:left="360"/>
        <w:jc w:val="both"/>
        <w:rPr>
          <w:rFonts w:asciiTheme="minorHAnsi" w:hAnsiTheme="minorHAnsi"/>
          <w:bCs/>
        </w:rPr>
      </w:pPr>
      <w:r w:rsidRPr="00A2277A">
        <w:rPr>
          <w:rFonts w:asciiTheme="minorHAnsi" w:hAnsiTheme="minorHAnsi"/>
          <w:bCs/>
        </w:rPr>
        <w:t>The federal standards which apply to stationary generators are covered by the New Source Performance Standards (NSPS) for compression-ignition and spark-ignited engines (40 CFR Part 60, Subparts IIII and JJJJ, respectively).  The NSPS requirements set emissions standards which must be met by manufacturers of new stationary engines, both for emergency and non-emergency use, but owners and operators of stationary engines must follow these requirements as well.  While the NSPS sets emissions standards for the criteria pollutants of NOx, CO, PM, and HC, the National Emissions Standards for Hazardous Air Pollutants (NESHAP) for Reciprocating Internal Combustion Engines (RICE) helps to control hazardous air pollutants (HAP).  Under the RICE NESHAP (40 CFR Part 63, Subpart ZZZZ), CO emissions standards are set in order to control HAPs, based upon EPA’s determination that CO is a suitable surrogate for controlling HAPs.</w:t>
      </w:r>
    </w:p>
    <w:p w:rsidR="009B2F9B" w:rsidRPr="00A2277A" w:rsidRDefault="0025362E" w:rsidP="0025362E">
      <w:pPr>
        <w:pStyle w:val="Heading3"/>
      </w:pPr>
      <w:bookmarkStart w:id="235" w:name="_Toc461020977"/>
      <w:bookmarkStart w:id="236" w:name="_Toc461025642"/>
      <w:bookmarkStart w:id="237" w:name="_Toc461025851"/>
      <w:bookmarkStart w:id="238" w:name="_Toc461027121"/>
      <w:r>
        <w:t>3</w:t>
      </w:r>
      <w:r w:rsidR="009B2F9B">
        <w:t>.1.2</w:t>
      </w:r>
      <w:r w:rsidR="009B2F9B">
        <w:tab/>
      </w:r>
      <w:r>
        <w:tab/>
      </w:r>
      <w:r w:rsidR="009B2F9B" w:rsidRPr="00A2277A">
        <w:t>The OTC Measure</w:t>
      </w:r>
      <w:bookmarkEnd w:id="235"/>
      <w:bookmarkEnd w:id="236"/>
      <w:bookmarkEnd w:id="237"/>
      <w:bookmarkEnd w:id="238"/>
    </w:p>
    <w:p w:rsidR="009B2F9B" w:rsidRPr="00A2277A" w:rsidRDefault="009B2F9B" w:rsidP="0081054E">
      <w:pPr>
        <w:pStyle w:val="NoSpacing"/>
        <w:ind w:left="360"/>
        <w:jc w:val="both"/>
        <w:rPr>
          <w:rFonts w:asciiTheme="minorHAnsi" w:hAnsiTheme="minorHAnsi"/>
        </w:rPr>
      </w:pPr>
      <w:r w:rsidRPr="00A2277A">
        <w:rPr>
          <w:rFonts w:asciiTheme="minorHAnsi" w:hAnsiTheme="minorHAnsi"/>
        </w:rPr>
        <w:t>Specifically, the OTC model rule would apply to all stationary generators (new and existing, as well as emergency and non-emergency) in a state, which have a standby power rating of X kW or less (as determined by the state).  The following types of generators would be exempt from the model rule:</w:t>
      </w:r>
    </w:p>
    <w:p w:rsidR="009B2F9B" w:rsidRPr="00A2277A" w:rsidRDefault="009B2F9B" w:rsidP="0081054E">
      <w:pPr>
        <w:pStyle w:val="NoSpacing"/>
        <w:numPr>
          <w:ilvl w:val="0"/>
          <w:numId w:val="16"/>
        </w:numPr>
        <w:ind w:left="1260"/>
        <w:jc w:val="both"/>
        <w:rPr>
          <w:rFonts w:asciiTheme="minorHAnsi" w:hAnsiTheme="minorHAnsi"/>
        </w:rPr>
      </w:pPr>
      <w:r w:rsidRPr="00A2277A">
        <w:rPr>
          <w:rFonts w:asciiTheme="minorHAnsi" w:hAnsiTheme="minorHAnsi"/>
        </w:rPr>
        <w:t xml:space="preserve">engines used at a nuclear power plant as an emergency generator, which are subject to regulations of the Nuclear Regulatory Commission (NRC);  </w:t>
      </w:r>
    </w:p>
    <w:p w:rsidR="009B2F9B" w:rsidRPr="00A2277A" w:rsidRDefault="009B2F9B" w:rsidP="0081054E">
      <w:pPr>
        <w:pStyle w:val="NoSpacing"/>
        <w:numPr>
          <w:ilvl w:val="0"/>
          <w:numId w:val="16"/>
        </w:numPr>
        <w:ind w:left="1260"/>
        <w:jc w:val="both"/>
        <w:rPr>
          <w:rFonts w:asciiTheme="minorHAnsi" w:hAnsiTheme="minorHAnsi"/>
        </w:rPr>
      </w:pPr>
      <w:r w:rsidRPr="00A2277A">
        <w:rPr>
          <w:rFonts w:asciiTheme="minorHAnsi" w:hAnsiTheme="minorHAnsi"/>
        </w:rPr>
        <w:t xml:space="preserve">marine internal combustion engines operated by the United States Navy for the purpose of testing and operational training; </w:t>
      </w:r>
    </w:p>
    <w:p w:rsidR="009B2F9B" w:rsidRPr="00A2277A" w:rsidRDefault="009B2F9B" w:rsidP="0081054E">
      <w:pPr>
        <w:pStyle w:val="NoSpacing"/>
        <w:numPr>
          <w:ilvl w:val="0"/>
          <w:numId w:val="16"/>
        </w:numPr>
        <w:ind w:left="1260"/>
        <w:jc w:val="both"/>
        <w:rPr>
          <w:rFonts w:asciiTheme="minorHAnsi" w:hAnsiTheme="minorHAnsi"/>
        </w:rPr>
      </w:pPr>
      <w:r w:rsidRPr="00A2277A">
        <w:rPr>
          <w:rFonts w:asciiTheme="minorHAnsi" w:hAnsiTheme="minorHAnsi"/>
        </w:rPr>
        <w:t xml:space="preserve">mobile generators; or </w:t>
      </w:r>
    </w:p>
    <w:p w:rsidR="009B2F9B" w:rsidRPr="00A2277A" w:rsidRDefault="009B2F9B" w:rsidP="0081054E">
      <w:pPr>
        <w:pStyle w:val="NoSpacing"/>
        <w:numPr>
          <w:ilvl w:val="0"/>
          <w:numId w:val="16"/>
        </w:numPr>
        <w:ind w:left="1260"/>
        <w:jc w:val="both"/>
        <w:rPr>
          <w:rFonts w:asciiTheme="minorHAnsi" w:hAnsiTheme="minorHAnsi"/>
        </w:rPr>
      </w:pPr>
      <w:r w:rsidRPr="00A2277A">
        <w:rPr>
          <w:rFonts w:asciiTheme="minorHAnsi" w:hAnsiTheme="minorHAnsi"/>
        </w:rPr>
        <w:t>generators with a standby power rating of X kW or less (as determined by the state).</w:t>
      </w:r>
    </w:p>
    <w:p w:rsidR="009B2F9B" w:rsidRPr="00A2277A" w:rsidRDefault="009B2F9B" w:rsidP="0081054E">
      <w:pPr>
        <w:pStyle w:val="NoSpacing"/>
        <w:spacing w:before="120"/>
        <w:ind w:left="360"/>
        <w:jc w:val="both"/>
        <w:rPr>
          <w:rFonts w:asciiTheme="minorHAnsi" w:hAnsiTheme="minorHAnsi"/>
        </w:rPr>
      </w:pPr>
      <w:r w:rsidRPr="00A2277A">
        <w:rPr>
          <w:rFonts w:asciiTheme="minorHAnsi" w:hAnsiTheme="minorHAnsi"/>
        </w:rPr>
        <w:t xml:space="preserve">No specific control technology is being recommended, since the regulation would be technology and fuel neutral. Existing, emergency generators should be compliant no later than 30 days after the adoption of the measure, and existing, non-emergency generators should be compliant within 1 year after the adoption of the measure. New generators should be compliant prior to initial operation. Non-emergency generators must verify their </w:t>
      </w:r>
      <w:r w:rsidR="0060782B">
        <w:rPr>
          <w:noProof/>
        </w:rPr>
        <mc:AlternateContent>
          <mc:Choice Requires="wps">
            <w:drawing>
              <wp:anchor distT="0" distB="0" distL="114300" distR="114300" simplePos="0" relativeHeight="251730944" behindDoc="0" locked="1" layoutInCell="1" allowOverlap="0" wp14:anchorId="37F0C09B" wp14:editId="2A19CA42">
                <wp:simplePos x="0" y="0"/>
                <wp:positionH relativeFrom="margin">
                  <wp:posOffset>3028950</wp:posOffset>
                </wp:positionH>
                <wp:positionV relativeFrom="bottomMargin">
                  <wp:posOffset>167640</wp:posOffset>
                </wp:positionV>
                <wp:extent cx="914400" cy="237490"/>
                <wp:effectExtent l="0" t="0" r="0" b="0"/>
                <wp:wrapNone/>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237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782B" w:rsidRDefault="0060782B" w:rsidP="0060782B">
                            <w:pPr>
                              <w:ind w:right="60"/>
                              <w:rPr>
                                <w:rFonts w:asciiTheme="minorHAnsi" w:hAnsiTheme="minorHAnsi"/>
                                <w:sz w:val="20"/>
                                <w:szCs w:val="20"/>
                              </w:rPr>
                            </w:pPr>
                            <w:hyperlink w:anchor="TOC" w:history="1">
                              <w:r>
                                <w:rPr>
                                  <w:rStyle w:val="Hyperlink"/>
                                  <w:sz w:val="20"/>
                                  <w:szCs w:val="20"/>
                                </w:rPr>
                                <w:t>Back to TOC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0C09B" id="Text Box 203" o:spid="_x0000_s1052" type="#_x0000_t202" style="position:absolute;left:0;text-align:left;margin-left:238.5pt;margin-top:13.2pt;width:1in;height:18.7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KGNmAIAAK4FAAAOAAAAZHJzL2Uyb0RvYy54bWysVEtv2zAMvg/YfxB0X+082q5GnCJr0WFA&#10;0BZrh54VWUqEyqImKbGzX19Kdh7teumwi02JH0mR/MjJZVtrshHOKzAlHZzklAjDoVJmWdJfjzdf&#10;vlLiAzMV02BESbfC08vp50+TxhZiCCvQlXAEnRhfNLakqxBskWWer0TN/AlYYVApwdUs4NEts8qx&#10;Br3XOhvm+VnWgKusAy68x9vrTkmnyb+Ugoc7Kb0IRJcU3xbS16XvIn6z6YQVS8fsSvH+GewfXlEz&#10;ZTDo3tU1C4ysnfrLVa24Aw8ynHCoM5BScZFywGwG+ZtsHlbMipQLFsfbfZn8/3PLbzf3jqiqpMN8&#10;RIlhNTbpUbSBfIOWxDusUGN9gcAHi9DQogI7nbL1dg782SMkO8J0Bh7RsSKtdHX8Y64EDbEJ233h&#10;YxyOlxeD8ThHDUfVcHQ+vkiNyQ7G1vnwXUBNolBSh31ND2CbuQ8xPCt2kBjLg1bVjdI6HSKXxJV2&#10;ZMOQBToMYk5o8QqlDWlKejY6zZNjA9G8w2kT3YjEpj5czLZLMElhq0XEaPNTSKxmyvOd2IxzYfbx&#10;EzqiJIb6iGGPP7zqI8ZdHmiRIoMJe+NaGXBdX1+XrHrelUx2+L7fvss7liC0izbRaJRaF68WUG2R&#10;MA66ofOW3yjs3pz5cM8cThk2HDdHuMOP1IDVh16iZAXuz3v3EY/kRy0lDU5tSf3vNXOCEv3D4Fgk&#10;IuGYp8P49HyIMdyxZnGsMev6CpASA9xRlicx4oPeidJB/YQLZhajoooZjrFLGnbiVeh2CS4oLmaz&#10;BMLBtizMzYPluzmJ3Hxsn5izPYEDMv8WdvPNijc87rCxQQZm6wBSJZIfqto3AJdCYnK/wOLWOT4n&#10;1GHNTl8AAAD//wMAUEsDBBQABgAIAAAAIQAORAVJ4AAAAAkBAAAPAAAAZHJzL2Rvd25yZXYueG1s&#10;TI8xT8MwEIV3JP6DdUgsVeskVGmVxqkQolI7dCCwdHPjI4mIz5HttuHfc0yw3d17eve9cjvZQVzR&#10;h96RgnSRgEBqnOmpVfDxvpuvQYSoyejBESr4xgDb6v6u1IVxN3rDax1bwSEUCq2gi3EspAxNh1aH&#10;hRuRWPt03urIq2+l8frG4XaQWZLk0uqe+EOnR3zpsPmqL1bBMZz2s5Pf72Z1MPKAeHw9pFGpx4fp&#10;eQMi4hT/zPCLz+hQMdPZXcgEMShYrlbcJSrI8iUINuRZyoczD09rkFUp/zeofgAAAP//AwBQSwEC&#10;LQAUAAYACAAAACEAtoM4kv4AAADhAQAAEwAAAAAAAAAAAAAAAAAAAAAAW0NvbnRlbnRfVHlwZXNd&#10;LnhtbFBLAQItABQABgAIAAAAIQA4/SH/1gAAAJQBAAALAAAAAAAAAAAAAAAAAC8BAABfcmVscy8u&#10;cmVsc1BLAQItABQABgAIAAAAIQC04KGNmAIAAK4FAAAOAAAAAAAAAAAAAAAAAC4CAABkcnMvZTJv&#10;RG9jLnhtbFBLAQItABQABgAIAAAAIQAORAVJ4AAAAAkBAAAPAAAAAAAAAAAAAAAAAPIEAABkcnMv&#10;ZG93bnJldi54bWxQSwUGAAAAAAQABADzAAAA/wUAAAAA&#10;" o:allowoverlap="f" fillcolor="white [3201]" stroked="f" strokeweight=".5pt">
                <v:path arrowok="t"/>
                <v:textbox>
                  <w:txbxContent>
                    <w:p w:rsidR="0060782B" w:rsidRDefault="0060782B" w:rsidP="0060782B">
                      <w:pPr>
                        <w:ind w:right="60"/>
                        <w:rPr>
                          <w:rFonts w:asciiTheme="minorHAnsi" w:hAnsiTheme="minorHAnsi"/>
                          <w:sz w:val="20"/>
                          <w:szCs w:val="20"/>
                        </w:rPr>
                      </w:pPr>
                      <w:hyperlink w:anchor="TOC" w:history="1">
                        <w:r>
                          <w:rPr>
                            <w:rStyle w:val="Hyperlink"/>
                            <w:sz w:val="20"/>
                            <w:szCs w:val="20"/>
                          </w:rPr>
                          <w:t>Back to TOC</w:t>
                        </w:r>
                      </w:hyperlink>
                    </w:p>
                  </w:txbxContent>
                </v:textbox>
                <w10:wrap anchorx="margin" anchory="margin"/>
                <w10:anchorlock/>
              </v:shape>
            </w:pict>
          </mc:Fallback>
        </mc:AlternateContent>
      </w:r>
      <w:r w:rsidRPr="00A2277A">
        <w:rPr>
          <w:rFonts w:asciiTheme="minorHAnsi" w:hAnsiTheme="minorHAnsi"/>
        </w:rPr>
        <w:t>compliance with the applicable emissions standards every five years.</w:t>
      </w:r>
    </w:p>
    <w:p w:rsidR="009B2F9B" w:rsidRPr="00A2277A" w:rsidRDefault="009B2F9B" w:rsidP="0081054E">
      <w:pPr>
        <w:pStyle w:val="NoSpacing"/>
        <w:spacing w:before="120" w:after="120"/>
        <w:ind w:left="360"/>
        <w:jc w:val="both"/>
        <w:rPr>
          <w:rFonts w:asciiTheme="minorHAnsi" w:hAnsiTheme="minorHAnsi"/>
        </w:rPr>
      </w:pPr>
      <w:r w:rsidRPr="00A2277A">
        <w:rPr>
          <w:rFonts w:asciiTheme="minorHAnsi" w:hAnsiTheme="minorHAnsi"/>
          <w:bCs/>
        </w:rPr>
        <w:lastRenderedPageBreak/>
        <w:t>For new, emergency generators,</w:t>
      </w:r>
      <w:r w:rsidRPr="00A2277A">
        <w:rPr>
          <w:rFonts w:asciiTheme="minorHAnsi" w:hAnsiTheme="minorHAnsi"/>
        </w:rPr>
        <w:t xml:space="preserve"> </w:t>
      </w:r>
      <w:r w:rsidRPr="00A2277A">
        <w:rPr>
          <w:rFonts w:asciiTheme="minorHAnsi" w:hAnsiTheme="minorHAnsi"/>
          <w:bCs/>
        </w:rPr>
        <w:t>compliance with</w:t>
      </w:r>
      <w:r w:rsidRPr="00A2277A">
        <w:rPr>
          <w:rFonts w:asciiTheme="minorHAnsi" w:hAnsiTheme="minorHAnsi"/>
        </w:rPr>
        <w:t xml:space="preserve"> EPA’s </w:t>
      </w:r>
      <w:r w:rsidRPr="00A2277A">
        <w:rPr>
          <w:rFonts w:asciiTheme="minorHAnsi" w:hAnsiTheme="minorHAnsi"/>
          <w:bCs/>
        </w:rPr>
        <w:t>New Sources Performance Standard</w:t>
      </w:r>
      <w:r w:rsidRPr="00A2277A">
        <w:rPr>
          <w:rFonts w:asciiTheme="minorHAnsi" w:hAnsiTheme="minorHAnsi"/>
        </w:rPr>
        <w:t xml:space="preserve"> </w:t>
      </w:r>
      <w:r w:rsidRPr="00A2277A">
        <w:rPr>
          <w:rFonts w:asciiTheme="minorHAnsi" w:hAnsiTheme="minorHAnsi"/>
          <w:bCs/>
        </w:rPr>
        <w:t>(</w:t>
      </w:r>
      <w:r w:rsidRPr="00A2277A">
        <w:rPr>
          <w:rFonts w:asciiTheme="minorHAnsi" w:hAnsiTheme="minorHAnsi"/>
        </w:rPr>
        <w:t>NSPS</w:t>
      </w:r>
      <w:r w:rsidRPr="00A2277A">
        <w:rPr>
          <w:rFonts w:asciiTheme="minorHAnsi" w:hAnsiTheme="minorHAnsi"/>
          <w:bCs/>
        </w:rPr>
        <w:t>) is</w:t>
      </w:r>
      <w:r w:rsidRPr="00A2277A">
        <w:rPr>
          <w:rFonts w:asciiTheme="minorHAnsi" w:hAnsiTheme="minorHAnsi"/>
        </w:rPr>
        <w:t xml:space="preserve"> required.  For new, non-emergency generators, the emissions standards would be equivalent to the most stringent requirements under the NSPS standards, as </w:t>
      </w:r>
      <w:r w:rsidRPr="00A2277A">
        <w:rPr>
          <w:rFonts w:asciiTheme="minorHAnsi" w:hAnsiTheme="minorHAnsi"/>
          <w:bCs/>
        </w:rPr>
        <w:t xml:space="preserve">shown </w:t>
      </w:r>
      <w:r w:rsidRPr="00A2277A">
        <w:rPr>
          <w:rFonts w:asciiTheme="minorHAnsi" w:hAnsiTheme="minorHAnsi"/>
        </w:rPr>
        <w:t xml:space="preserve">in </w:t>
      </w:r>
      <w:r w:rsidR="006633FD">
        <w:rPr>
          <w:rFonts w:asciiTheme="minorHAnsi" w:hAnsiTheme="minorHAnsi"/>
        </w:rPr>
        <w:t>Table 3-1</w:t>
      </w:r>
      <w:r w:rsidRPr="00A2277A">
        <w:rPr>
          <w:rFonts w:asciiTheme="minorHAnsi" w:hAnsiTheme="minorHAnsi"/>
        </w:rPr>
        <w:t xml:space="preserve">: </w:t>
      </w:r>
    </w:p>
    <w:p w:rsidR="00B97006" w:rsidRPr="00B97006" w:rsidRDefault="00B97006" w:rsidP="00B97006">
      <w:pPr>
        <w:pStyle w:val="Caption"/>
        <w:keepNext/>
        <w:spacing w:after="120"/>
        <w:rPr>
          <w:rFonts w:asciiTheme="minorHAnsi" w:hAnsiTheme="minorHAnsi"/>
          <w:sz w:val="22"/>
          <w:szCs w:val="22"/>
        </w:rPr>
      </w:pPr>
      <w:bookmarkStart w:id="239" w:name="_Toc461106802"/>
      <w:r w:rsidRPr="00B97006">
        <w:rPr>
          <w:rFonts w:asciiTheme="minorHAnsi" w:hAnsiTheme="minorHAnsi"/>
          <w:sz w:val="22"/>
          <w:szCs w:val="22"/>
        </w:rPr>
        <w:t>Table 3-1</w:t>
      </w:r>
      <w:r w:rsidR="00FD75BF">
        <w:rPr>
          <w:rFonts w:asciiTheme="minorHAnsi" w:hAnsiTheme="minorHAnsi"/>
          <w:sz w:val="22"/>
          <w:szCs w:val="22"/>
        </w:rPr>
        <w:tab/>
      </w:r>
      <w:r w:rsidR="00BF73EF" w:rsidRPr="00BF73EF">
        <w:rPr>
          <w:rFonts w:asciiTheme="minorHAnsi" w:hAnsiTheme="minorHAnsi"/>
          <w:sz w:val="22"/>
          <w:szCs w:val="22"/>
        </w:rPr>
        <w:t>New Sources Performance Standard for non-emergency generators</w:t>
      </w:r>
      <w:bookmarkEnd w:id="239"/>
    </w:p>
    <w:tbl>
      <w:tblPr>
        <w:tblW w:w="6485" w:type="dxa"/>
        <w:jc w:val="center"/>
        <w:tblCellMar>
          <w:left w:w="0" w:type="dxa"/>
          <w:right w:w="0" w:type="dxa"/>
        </w:tblCellMar>
        <w:tblLook w:val="0000" w:firstRow="0" w:lastRow="0" w:firstColumn="0" w:lastColumn="0" w:noHBand="0" w:noVBand="0"/>
      </w:tblPr>
      <w:tblGrid>
        <w:gridCol w:w="4053"/>
        <w:gridCol w:w="1080"/>
        <w:gridCol w:w="1352"/>
      </w:tblGrid>
      <w:tr w:rsidR="009B2F9B" w:rsidRPr="00A2277A" w:rsidTr="00A475FE">
        <w:trPr>
          <w:jc w:val="center"/>
        </w:trPr>
        <w:tc>
          <w:tcPr>
            <w:tcW w:w="4053" w:type="dxa"/>
            <w:tcBorders>
              <w:top w:val="single" w:sz="4" w:space="0" w:color="auto"/>
              <w:left w:val="single" w:sz="4" w:space="0" w:color="auto"/>
              <w:right w:val="single" w:sz="4" w:space="0" w:color="auto"/>
            </w:tcBorders>
          </w:tcPr>
          <w:p w:rsidR="009B2F9B" w:rsidRPr="00A2277A" w:rsidRDefault="009B2F9B" w:rsidP="00BF73EF">
            <w:pPr>
              <w:autoSpaceDE w:val="0"/>
              <w:autoSpaceDN w:val="0"/>
              <w:spacing w:after="120" w:line="240" w:lineRule="auto"/>
              <w:rPr>
                <w:rFonts w:asciiTheme="minorHAnsi" w:hAnsiTheme="minorHAnsi"/>
                <w:b/>
              </w:rPr>
            </w:pPr>
          </w:p>
        </w:tc>
        <w:tc>
          <w:tcPr>
            <w:tcW w:w="2432" w:type="dxa"/>
            <w:gridSpan w:val="2"/>
            <w:tcBorders>
              <w:top w:val="single" w:sz="4" w:space="0" w:color="auto"/>
              <w:left w:val="single" w:sz="4" w:space="0" w:color="auto"/>
              <w:bottom w:val="single" w:sz="4" w:space="0" w:color="auto"/>
              <w:right w:val="single" w:sz="4" w:space="0" w:color="auto"/>
            </w:tcBorders>
          </w:tcPr>
          <w:p w:rsidR="009B2F9B" w:rsidRPr="00A2277A" w:rsidRDefault="009B2F9B" w:rsidP="00BF73EF">
            <w:pPr>
              <w:autoSpaceDE w:val="0"/>
              <w:autoSpaceDN w:val="0"/>
              <w:spacing w:after="120" w:line="240" w:lineRule="auto"/>
              <w:rPr>
                <w:rFonts w:asciiTheme="minorHAnsi" w:hAnsiTheme="minorHAnsi"/>
                <w:b/>
              </w:rPr>
            </w:pPr>
            <w:r w:rsidRPr="00A2277A">
              <w:rPr>
                <w:rFonts w:asciiTheme="minorHAnsi" w:hAnsiTheme="minorHAnsi"/>
                <w:b/>
              </w:rPr>
              <w:t>Emission Standards</w:t>
            </w:r>
          </w:p>
        </w:tc>
      </w:tr>
      <w:tr w:rsidR="009B2F9B" w:rsidRPr="00A2277A" w:rsidTr="00A475FE">
        <w:trPr>
          <w:jc w:val="center"/>
        </w:trPr>
        <w:tc>
          <w:tcPr>
            <w:tcW w:w="4053" w:type="dxa"/>
            <w:tcBorders>
              <w:left w:val="single" w:sz="4" w:space="0" w:color="auto"/>
              <w:right w:val="single" w:sz="4" w:space="0" w:color="auto"/>
            </w:tcBorders>
            <w:vAlign w:val="center"/>
          </w:tcPr>
          <w:p w:rsidR="009B2F9B" w:rsidRPr="00A2277A" w:rsidRDefault="009B2F9B" w:rsidP="00BF73EF">
            <w:pPr>
              <w:tabs>
                <w:tab w:val="left" w:pos="680"/>
                <w:tab w:val="center" w:pos="1363"/>
              </w:tabs>
              <w:autoSpaceDE w:val="0"/>
              <w:autoSpaceDN w:val="0"/>
              <w:spacing w:after="120" w:line="240" w:lineRule="auto"/>
              <w:rPr>
                <w:rFonts w:asciiTheme="minorHAnsi" w:hAnsiTheme="minorHAnsi"/>
              </w:rPr>
            </w:pPr>
            <w:r w:rsidRPr="00A2277A">
              <w:rPr>
                <w:rFonts w:asciiTheme="minorHAnsi" w:hAnsiTheme="minorHAnsi"/>
                <w:b/>
              </w:rPr>
              <w:t>Pollutant</w:t>
            </w:r>
          </w:p>
        </w:tc>
        <w:tc>
          <w:tcPr>
            <w:tcW w:w="1080" w:type="dxa"/>
            <w:tcBorders>
              <w:top w:val="single" w:sz="4" w:space="0" w:color="auto"/>
              <w:left w:val="single" w:sz="4" w:space="0" w:color="auto"/>
              <w:right w:val="single" w:sz="4" w:space="0" w:color="auto"/>
            </w:tcBorders>
          </w:tcPr>
          <w:p w:rsidR="009B2F9B" w:rsidRPr="00A2277A" w:rsidRDefault="009B2F9B" w:rsidP="00BF73EF">
            <w:pPr>
              <w:autoSpaceDE w:val="0"/>
              <w:autoSpaceDN w:val="0"/>
              <w:spacing w:after="120" w:line="240" w:lineRule="auto"/>
              <w:rPr>
                <w:rFonts w:asciiTheme="minorHAnsi" w:hAnsiTheme="minorHAnsi"/>
              </w:rPr>
            </w:pPr>
            <w:r w:rsidRPr="00A2277A">
              <w:rPr>
                <w:rFonts w:asciiTheme="minorHAnsi" w:hAnsiTheme="minorHAnsi"/>
              </w:rPr>
              <w:t>lb/MWh</w:t>
            </w:r>
          </w:p>
        </w:tc>
        <w:tc>
          <w:tcPr>
            <w:tcW w:w="1352" w:type="dxa"/>
            <w:tcBorders>
              <w:top w:val="single" w:sz="4" w:space="0" w:color="auto"/>
              <w:left w:val="single" w:sz="4" w:space="0" w:color="auto"/>
              <w:right w:val="single" w:sz="4" w:space="0" w:color="auto"/>
            </w:tcBorders>
          </w:tcPr>
          <w:p w:rsidR="009B2F9B" w:rsidRPr="00A2277A" w:rsidRDefault="009B2F9B" w:rsidP="00BF73EF">
            <w:pPr>
              <w:autoSpaceDE w:val="0"/>
              <w:autoSpaceDN w:val="0"/>
              <w:spacing w:after="120" w:line="240" w:lineRule="auto"/>
              <w:rPr>
                <w:rFonts w:asciiTheme="minorHAnsi" w:hAnsiTheme="minorHAnsi"/>
              </w:rPr>
            </w:pPr>
            <w:r w:rsidRPr="00A2277A">
              <w:rPr>
                <w:rFonts w:asciiTheme="minorHAnsi" w:hAnsiTheme="minorHAnsi"/>
              </w:rPr>
              <w:t>g/kWh</w:t>
            </w:r>
          </w:p>
        </w:tc>
      </w:tr>
      <w:tr w:rsidR="009B2F9B" w:rsidRPr="00A2277A" w:rsidTr="00A475FE">
        <w:trPr>
          <w:jc w:val="center"/>
        </w:trPr>
        <w:tc>
          <w:tcPr>
            <w:tcW w:w="4053" w:type="dxa"/>
            <w:tcBorders>
              <w:top w:val="single" w:sz="4" w:space="0" w:color="auto"/>
              <w:left w:val="single" w:sz="4" w:space="0" w:color="auto"/>
              <w:bottom w:val="single" w:sz="4" w:space="0" w:color="auto"/>
              <w:right w:val="single" w:sz="4" w:space="0" w:color="auto"/>
            </w:tcBorders>
          </w:tcPr>
          <w:p w:rsidR="009B2F9B" w:rsidRPr="00A2277A" w:rsidRDefault="009B2F9B" w:rsidP="00BF73EF">
            <w:pPr>
              <w:autoSpaceDE w:val="0"/>
              <w:autoSpaceDN w:val="0"/>
              <w:spacing w:after="120" w:line="240" w:lineRule="auto"/>
              <w:rPr>
                <w:rFonts w:asciiTheme="minorHAnsi" w:hAnsiTheme="minorHAnsi"/>
              </w:rPr>
            </w:pPr>
            <w:r w:rsidRPr="00A2277A">
              <w:rPr>
                <w:rFonts w:asciiTheme="minorHAnsi" w:hAnsiTheme="minorHAnsi"/>
              </w:rPr>
              <w:t>Nitrogen Oxides</w:t>
            </w:r>
          </w:p>
        </w:tc>
        <w:tc>
          <w:tcPr>
            <w:tcW w:w="1080" w:type="dxa"/>
            <w:tcBorders>
              <w:top w:val="single" w:sz="4" w:space="0" w:color="auto"/>
              <w:left w:val="single" w:sz="4" w:space="0" w:color="auto"/>
              <w:bottom w:val="single" w:sz="4" w:space="0" w:color="auto"/>
              <w:right w:val="single" w:sz="4" w:space="0" w:color="auto"/>
            </w:tcBorders>
          </w:tcPr>
          <w:p w:rsidR="009B2F9B" w:rsidRPr="00A2277A" w:rsidRDefault="009B2F9B" w:rsidP="00BF73EF">
            <w:pPr>
              <w:autoSpaceDE w:val="0"/>
              <w:autoSpaceDN w:val="0"/>
              <w:spacing w:after="120" w:line="240" w:lineRule="auto"/>
              <w:rPr>
                <w:rFonts w:asciiTheme="minorHAnsi" w:hAnsiTheme="minorHAnsi"/>
              </w:rPr>
            </w:pPr>
            <w:r w:rsidRPr="00A2277A">
              <w:rPr>
                <w:rFonts w:asciiTheme="minorHAnsi" w:hAnsiTheme="minorHAnsi"/>
              </w:rPr>
              <w:t>0.88</w:t>
            </w:r>
          </w:p>
        </w:tc>
        <w:tc>
          <w:tcPr>
            <w:tcW w:w="1352" w:type="dxa"/>
            <w:tcBorders>
              <w:top w:val="single" w:sz="4" w:space="0" w:color="auto"/>
              <w:left w:val="single" w:sz="4" w:space="0" w:color="auto"/>
              <w:bottom w:val="single" w:sz="4" w:space="0" w:color="auto"/>
              <w:right w:val="single" w:sz="4" w:space="0" w:color="auto"/>
            </w:tcBorders>
          </w:tcPr>
          <w:p w:rsidR="009B2F9B" w:rsidRPr="00A2277A" w:rsidRDefault="009B2F9B" w:rsidP="00BF73EF">
            <w:pPr>
              <w:autoSpaceDE w:val="0"/>
              <w:autoSpaceDN w:val="0"/>
              <w:spacing w:after="120" w:line="240" w:lineRule="auto"/>
              <w:rPr>
                <w:rFonts w:asciiTheme="minorHAnsi" w:hAnsiTheme="minorHAnsi"/>
              </w:rPr>
            </w:pPr>
            <w:r w:rsidRPr="00A2277A">
              <w:rPr>
                <w:rFonts w:asciiTheme="minorHAnsi" w:hAnsiTheme="minorHAnsi"/>
              </w:rPr>
              <w:t>0.4</w:t>
            </w:r>
          </w:p>
        </w:tc>
      </w:tr>
      <w:tr w:rsidR="009B2F9B" w:rsidRPr="00A2277A" w:rsidTr="00A475FE">
        <w:trPr>
          <w:jc w:val="center"/>
        </w:trPr>
        <w:tc>
          <w:tcPr>
            <w:tcW w:w="4053" w:type="dxa"/>
            <w:tcBorders>
              <w:top w:val="single" w:sz="4" w:space="0" w:color="auto"/>
              <w:left w:val="single" w:sz="4" w:space="0" w:color="auto"/>
              <w:bottom w:val="single" w:sz="4" w:space="0" w:color="auto"/>
              <w:right w:val="single" w:sz="4" w:space="0" w:color="auto"/>
            </w:tcBorders>
          </w:tcPr>
          <w:p w:rsidR="009B2F9B" w:rsidRPr="00A2277A" w:rsidRDefault="009B2F9B" w:rsidP="00BF73EF">
            <w:pPr>
              <w:autoSpaceDE w:val="0"/>
              <w:autoSpaceDN w:val="0"/>
              <w:spacing w:after="120" w:line="240" w:lineRule="auto"/>
              <w:rPr>
                <w:rFonts w:asciiTheme="minorHAnsi" w:hAnsiTheme="minorHAnsi"/>
              </w:rPr>
            </w:pPr>
            <w:r w:rsidRPr="00A2277A">
              <w:rPr>
                <w:rFonts w:asciiTheme="minorHAnsi" w:hAnsiTheme="minorHAnsi"/>
              </w:rPr>
              <w:t>Nonmethane Hydrocarbons</w:t>
            </w:r>
          </w:p>
        </w:tc>
        <w:tc>
          <w:tcPr>
            <w:tcW w:w="1080" w:type="dxa"/>
            <w:tcBorders>
              <w:top w:val="single" w:sz="4" w:space="0" w:color="auto"/>
              <w:left w:val="single" w:sz="4" w:space="0" w:color="auto"/>
              <w:bottom w:val="single" w:sz="4" w:space="0" w:color="auto"/>
              <w:right w:val="single" w:sz="4" w:space="0" w:color="auto"/>
            </w:tcBorders>
          </w:tcPr>
          <w:p w:rsidR="009B2F9B" w:rsidRPr="00A2277A" w:rsidRDefault="009B2F9B" w:rsidP="00BF73EF">
            <w:pPr>
              <w:autoSpaceDE w:val="0"/>
              <w:autoSpaceDN w:val="0"/>
              <w:spacing w:after="120" w:line="240" w:lineRule="auto"/>
              <w:rPr>
                <w:rFonts w:asciiTheme="minorHAnsi" w:hAnsiTheme="minorHAnsi"/>
              </w:rPr>
            </w:pPr>
            <w:r w:rsidRPr="00A2277A">
              <w:rPr>
                <w:rFonts w:asciiTheme="minorHAnsi" w:hAnsiTheme="minorHAnsi"/>
              </w:rPr>
              <w:t>0.41</w:t>
            </w:r>
          </w:p>
        </w:tc>
        <w:tc>
          <w:tcPr>
            <w:tcW w:w="1352" w:type="dxa"/>
            <w:tcBorders>
              <w:top w:val="single" w:sz="4" w:space="0" w:color="auto"/>
              <w:left w:val="single" w:sz="4" w:space="0" w:color="auto"/>
              <w:bottom w:val="single" w:sz="4" w:space="0" w:color="auto"/>
              <w:right w:val="single" w:sz="4" w:space="0" w:color="auto"/>
            </w:tcBorders>
          </w:tcPr>
          <w:p w:rsidR="009B2F9B" w:rsidRPr="00A2277A" w:rsidRDefault="009B2F9B" w:rsidP="00BF73EF">
            <w:pPr>
              <w:autoSpaceDE w:val="0"/>
              <w:autoSpaceDN w:val="0"/>
              <w:spacing w:after="120" w:line="240" w:lineRule="auto"/>
              <w:rPr>
                <w:rFonts w:asciiTheme="minorHAnsi" w:hAnsiTheme="minorHAnsi"/>
              </w:rPr>
            </w:pPr>
            <w:r w:rsidRPr="00A2277A">
              <w:rPr>
                <w:rFonts w:asciiTheme="minorHAnsi" w:hAnsiTheme="minorHAnsi"/>
              </w:rPr>
              <w:t>0.19</w:t>
            </w:r>
          </w:p>
        </w:tc>
      </w:tr>
      <w:tr w:rsidR="009B2F9B" w:rsidRPr="00A2277A" w:rsidTr="00A475FE">
        <w:trPr>
          <w:jc w:val="center"/>
        </w:trPr>
        <w:tc>
          <w:tcPr>
            <w:tcW w:w="4053" w:type="dxa"/>
            <w:tcBorders>
              <w:top w:val="single" w:sz="4" w:space="0" w:color="auto"/>
              <w:left w:val="single" w:sz="4" w:space="0" w:color="auto"/>
              <w:bottom w:val="single" w:sz="4" w:space="0" w:color="auto"/>
              <w:right w:val="single" w:sz="4" w:space="0" w:color="auto"/>
            </w:tcBorders>
          </w:tcPr>
          <w:p w:rsidR="009B2F9B" w:rsidRPr="00A2277A" w:rsidRDefault="009B2F9B" w:rsidP="00BF73EF">
            <w:pPr>
              <w:autoSpaceDE w:val="0"/>
              <w:autoSpaceDN w:val="0"/>
              <w:spacing w:after="120" w:line="240" w:lineRule="auto"/>
              <w:rPr>
                <w:rFonts w:asciiTheme="minorHAnsi" w:hAnsiTheme="minorHAnsi"/>
              </w:rPr>
            </w:pPr>
            <w:r w:rsidRPr="00A2277A">
              <w:rPr>
                <w:rFonts w:asciiTheme="minorHAnsi" w:hAnsiTheme="minorHAnsi"/>
              </w:rPr>
              <w:t>Particulate Matter</w:t>
            </w:r>
          </w:p>
          <w:p w:rsidR="009B2F9B" w:rsidRPr="00A2277A" w:rsidRDefault="009B2F9B" w:rsidP="00BF73EF">
            <w:pPr>
              <w:autoSpaceDE w:val="0"/>
              <w:autoSpaceDN w:val="0"/>
              <w:spacing w:after="120" w:line="240" w:lineRule="auto"/>
              <w:rPr>
                <w:rFonts w:asciiTheme="minorHAnsi" w:hAnsiTheme="minorHAnsi"/>
              </w:rPr>
            </w:pPr>
            <w:r w:rsidRPr="00A2277A">
              <w:rPr>
                <w:rFonts w:asciiTheme="minorHAnsi" w:hAnsiTheme="minorHAnsi"/>
              </w:rPr>
              <w:t>(liquid-fueled reciprocating engines only)</w:t>
            </w:r>
          </w:p>
        </w:tc>
        <w:tc>
          <w:tcPr>
            <w:tcW w:w="1080" w:type="dxa"/>
            <w:tcBorders>
              <w:top w:val="single" w:sz="4" w:space="0" w:color="auto"/>
              <w:left w:val="single" w:sz="4" w:space="0" w:color="auto"/>
              <w:bottom w:val="single" w:sz="4" w:space="0" w:color="auto"/>
              <w:right w:val="single" w:sz="4" w:space="0" w:color="auto"/>
            </w:tcBorders>
            <w:vAlign w:val="center"/>
          </w:tcPr>
          <w:p w:rsidR="009B2F9B" w:rsidRPr="00A2277A" w:rsidRDefault="009B2F9B" w:rsidP="00BF73EF">
            <w:pPr>
              <w:autoSpaceDE w:val="0"/>
              <w:autoSpaceDN w:val="0"/>
              <w:spacing w:after="120" w:line="240" w:lineRule="auto"/>
              <w:rPr>
                <w:rFonts w:asciiTheme="minorHAnsi" w:hAnsiTheme="minorHAnsi"/>
              </w:rPr>
            </w:pPr>
            <w:r w:rsidRPr="00A2277A">
              <w:rPr>
                <w:rFonts w:asciiTheme="minorHAnsi" w:hAnsiTheme="minorHAnsi"/>
              </w:rPr>
              <w:t>0.044</w:t>
            </w:r>
          </w:p>
        </w:tc>
        <w:tc>
          <w:tcPr>
            <w:tcW w:w="1352" w:type="dxa"/>
            <w:tcBorders>
              <w:top w:val="single" w:sz="4" w:space="0" w:color="auto"/>
              <w:left w:val="single" w:sz="4" w:space="0" w:color="auto"/>
              <w:bottom w:val="single" w:sz="4" w:space="0" w:color="auto"/>
              <w:right w:val="single" w:sz="4" w:space="0" w:color="auto"/>
            </w:tcBorders>
            <w:vAlign w:val="center"/>
          </w:tcPr>
          <w:p w:rsidR="009B2F9B" w:rsidRPr="00A2277A" w:rsidRDefault="009B2F9B" w:rsidP="00BF73EF">
            <w:pPr>
              <w:autoSpaceDE w:val="0"/>
              <w:autoSpaceDN w:val="0"/>
              <w:spacing w:after="120" w:line="240" w:lineRule="auto"/>
              <w:rPr>
                <w:rFonts w:asciiTheme="minorHAnsi" w:hAnsiTheme="minorHAnsi"/>
              </w:rPr>
            </w:pPr>
            <w:r w:rsidRPr="00A2277A">
              <w:rPr>
                <w:rFonts w:asciiTheme="minorHAnsi" w:hAnsiTheme="minorHAnsi"/>
              </w:rPr>
              <w:t>0.02</w:t>
            </w:r>
          </w:p>
        </w:tc>
      </w:tr>
      <w:tr w:rsidR="009B2F9B" w:rsidRPr="00A2277A" w:rsidTr="00A475FE">
        <w:trPr>
          <w:jc w:val="center"/>
        </w:trPr>
        <w:tc>
          <w:tcPr>
            <w:tcW w:w="4053" w:type="dxa"/>
            <w:tcBorders>
              <w:top w:val="single" w:sz="4" w:space="0" w:color="auto"/>
              <w:left w:val="single" w:sz="4" w:space="0" w:color="auto"/>
              <w:bottom w:val="single" w:sz="4" w:space="0" w:color="auto"/>
              <w:right w:val="single" w:sz="4" w:space="0" w:color="auto"/>
            </w:tcBorders>
          </w:tcPr>
          <w:p w:rsidR="009B2F9B" w:rsidRPr="00A2277A" w:rsidRDefault="009B2F9B" w:rsidP="00BF73EF">
            <w:pPr>
              <w:autoSpaceDE w:val="0"/>
              <w:autoSpaceDN w:val="0"/>
              <w:spacing w:after="120" w:line="240" w:lineRule="auto"/>
              <w:rPr>
                <w:rFonts w:asciiTheme="minorHAnsi" w:hAnsiTheme="minorHAnsi"/>
              </w:rPr>
            </w:pPr>
            <w:r w:rsidRPr="00A2277A">
              <w:rPr>
                <w:rFonts w:asciiTheme="minorHAnsi" w:hAnsiTheme="minorHAnsi"/>
              </w:rPr>
              <w:t>Carbon Monoxide</w:t>
            </w:r>
          </w:p>
        </w:tc>
        <w:tc>
          <w:tcPr>
            <w:tcW w:w="1080" w:type="dxa"/>
            <w:tcBorders>
              <w:top w:val="single" w:sz="4" w:space="0" w:color="auto"/>
              <w:left w:val="single" w:sz="4" w:space="0" w:color="auto"/>
              <w:bottom w:val="single" w:sz="4" w:space="0" w:color="auto"/>
              <w:right w:val="single" w:sz="4" w:space="0" w:color="auto"/>
            </w:tcBorders>
          </w:tcPr>
          <w:p w:rsidR="009B2F9B" w:rsidRPr="00A2277A" w:rsidRDefault="009B2F9B" w:rsidP="00BF73EF">
            <w:pPr>
              <w:autoSpaceDE w:val="0"/>
              <w:autoSpaceDN w:val="0"/>
              <w:spacing w:after="120" w:line="240" w:lineRule="auto"/>
              <w:rPr>
                <w:rFonts w:asciiTheme="minorHAnsi" w:hAnsiTheme="minorHAnsi"/>
              </w:rPr>
            </w:pPr>
            <w:r w:rsidRPr="00A2277A">
              <w:rPr>
                <w:rFonts w:asciiTheme="minorHAnsi" w:hAnsiTheme="minorHAnsi"/>
              </w:rPr>
              <w:t>7.7</w:t>
            </w:r>
          </w:p>
        </w:tc>
        <w:tc>
          <w:tcPr>
            <w:tcW w:w="1352" w:type="dxa"/>
            <w:tcBorders>
              <w:top w:val="single" w:sz="4" w:space="0" w:color="auto"/>
              <w:left w:val="single" w:sz="4" w:space="0" w:color="auto"/>
              <w:bottom w:val="single" w:sz="4" w:space="0" w:color="auto"/>
              <w:right w:val="single" w:sz="4" w:space="0" w:color="auto"/>
            </w:tcBorders>
          </w:tcPr>
          <w:p w:rsidR="009B2F9B" w:rsidRPr="00A2277A" w:rsidRDefault="009B2F9B" w:rsidP="00BF73EF">
            <w:pPr>
              <w:autoSpaceDE w:val="0"/>
              <w:autoSpaceDN w:val="0"/>
              <w:spacing w:after="120" w:line="240" w:lineRule="auto"/>
              <w:rPr>
                <w:rFonts w:asciiTheme="minorHAnsi" w:hAnsiTheme="minorHAnsi"/>
              </w:rPr>
            </w:pPr>
            <w:r w:rsidRPr="00A2277A">
              <w:rPr>
                <w:rFonts w:asciiTheme="minorHAnsi" w:hAnsiTheme="minorHAnsi"/>
              </w:rPr>
              <w:t>3.5</w:t>
            </w:r>
          </w:p>
        </w:tc>
      </w:tr>
    </w:tbl>
    <w:p w:rsidR="009B2F9B" w:rsidRPr="00A2277A" w:rsidRDefault="009B2F9B" w:rsidP="00B97006">
      <w:pPr>
        <w:pStyle w:val="NoSpacing"/>
        <w:spacing w:before="200" w:after="120"/>
        <w:ind w:left="360"/>
        <w:rPr>
          <w:rFonts w:asciiTheme="minorHAnsi" w:hAnsiTheme="minorHAnsi"/>
        </w:rPr>
      </w:pPr>
      <w:r w:rsidRPr="00A2277A">
        <w:rPr>
          <w:rFonts w:asciiTheme="minorHAnsi" w:hAnsiTheme="minorHAnsi"/>
        </w:rPr>
        <w:t xml:space="preserve">For all new, non-emergency generators fueled by waste or landfill gases, the emissions standards would be as listed in </w:t>
      </w:r>
      <w:r w:rsidR="006633FD">
        <w:rPr>
          <w:rFonts w:asciiTheme="minorHAnsi" w:hAnsiTheme="minorHAnsi"/>
        </w:rPr>
        <w:t>Table 3-2</w:t>
      </w:r>
      <w:r w:rsidRPr="00A2277A">
        <w:rPr>
          <w:rFonts w:asciiTheme="minorHAnsi" w:hAnsiTheme="minorHAnsi"/>
        </w:rPr>
        <w:t>:</w:t>
      </w:r>
    </w:p>
    <w:p w:rsidR="00B97006" w:rsidRPr="00B97006" w:rsidRDefault="00B97006" w:rsidP="00B97006">
      <w:pPr>
        <w:pStyle w:val="Caption"/>
        <w:keepNext/>
        <w:spacing w:before="120" w:after="120"/>
        <w:rPr>
          <w:rFonts w:asciiTheme="minorHAnsi" w:hAnsiTheme="minorHAnsi"/>
          <w:sz w:val="22"/>
          <w:szCs w:val="22"/>
        </w:rPr>
      </w:pPr>
      <w:bookmarkStart w:id="240" w:name="_Toc461106803"/>
      <w:r w:rsidRPr="00B97006">
        <w:rPr>
          <w:rFonts w:asciiTheme="minorHAnsi" w:hAnsiTheme="minorHAnsi"/>
          <w:sz w:val="22"/>
          <w:szCs w:val="22"/>
        </w:rPr>
        <w:t>Table 3-2</w:t>
      </w:r>
      <w:r w:rsidR="00FD75BF">
        <w:rPr>
          <w:rFonts w:asciiTheme="minorHAnsi" w:hAnsiTheme="minorHAnsi"/>
          <w:sz w:val="22"/>
          <w:szCs w:val="22"/>
        </w:rPr>
        <w:tab/>
      </w:r>
      <w:r w:rsidR="00BF73EF">
        <w:rPr>
          <w:rFonts w:asciiTheme="minorHAnsi" w:hAnsiTheme="minorHAnsi"/>
          <w:sz w:val="22"/>
          <w:szCs w:val="22"/>
        </w:rPr>
        <w:t>E</w:t>
      </w:r>
      <w:r w:rsidR="00BF73EF" w:rsidRPr="00BF73EF">
        <w:rPr>
          <w:rFonts w:asciiTheme="minorHAnsi" w:hAnsiTheme="minorHAnsi"/>
          <w:sz w:val="22"/>
          <w:szCs w:val="22"/>
        </w:rPr>
        <w:t>missions standards for all new, non-emergency generators fueled by waste or landfill gases</w:t>
      </w:r>
      <w:bookmarkEnd w:id="240"/>
    </w:p>
    <w:tbl>
      <w:tblPr>
        <w:tblW w:w="0" w:type="auto"/>
        <w:jc w:val="center"/>
        <w:tblCellMar>
          <w:left w:w="0" w:type="dxa"/>
          <w:right w:w="0" w:type="dxa"/>
        </w:tblCellMar>
        <w:tblLook w:val="0000" w:firstRow="0" w:lastRow="0" w:firstColumn="0" w:lastColumn="0" w:noHBand="0" w:noVBand="0"/>
      </w:tblPr>
      <w:tblGrid>
        <w:gridCol w:w="2385"/>
        <w:gridCol w:w="3310"/>
        <w:gridCol w:w="3082"/>
      </w:tblGrid>
      <w:tr w:rsidR="009B2F9B" w:rsidRPr="00A2277A" w:rsidTr="00A475FE">
        <w:trPr>
          <w:jc w:val="center"/>
        </w:trPr>
        <w:tc>
          <w:tcPr>
            <w:tcW w:w="2385" w:type="dxa"/>
            <w:tcBorders>
              <w:top w:val="single" w:sz="4" w:space="0" w:color="auto"/>
              <w:left w:val="single" w:sz="4" w:space="0" w:color="auto"/>
              <w:right w:val="single" w:sz="4" w:space="0" w:color="auto"/>
            </w:tcBorders>
          </w:tcPr>
          <w:p w:rsidR="009B2F9B" w:rsidRPr="00A2277A" w:rsidRDefault="009B2F9B" w:rsidP="00BF73EF">
            <w:pPr>
              <w:autoSpaceDE w:val="0"/>
              <w:autoSpaceDN w:val="0"/>
              <w:spacing w:after="120" w:line="240" w:lineRule="auto"/>
              <w:rPr>
                <w:rFonts w:asciiTheme="minorHAnsi" w:hAnsiTheme="minorHAnsi"/>
                <w:b/>
              </w:rPr>
            </w:pPr>
            <w:r w:rsidRPr="00A2277A">
              <w:rPr>
                <w:rFonts w:asciiTheme="minorHAnsi" w:hAnsiTheme="minorHAnsi"/>
                <w:b/>
              </w:rPr>
              <w:t>Pollutant</w:t>
            </w:r>
          </w:p>
        </w:tc>
        <w:tc>
          <w:tcPr>
            <w:tcW w:w="3310" w:type="dxa"/>
            <w:tcBorders>
              <w:top w:val="single" w:sz="4" w:space="0" w:color="auto"/>
              <w:left w:val="single" w:sz="4" w:space="0" w:color="auto"/>
              <w:bottom w:val="single" w:sz="4" w:space="0" w:color="auto"/>
              <w:right w:val="single" w:sz="4" w:space="0" w:color="auto"/>
            </w:tcBorders>
          </w:tcPr>
          <w:p w:rsidR="009B2F9B" w:rsidRPr="00A2277A" w:rsidRDefault="009B2F9B" w:rsidP="00BF73EF">
            <w:pPr>
              <w:autoSpaceDE w:val="0"/>
              <w:autoSpaceDN w:val="0"/>
              <w:spacing w:after="120" w:line="240" w:lineRule="auto"/>
              <w:rPr>
                <w:rFonts w:asciiTheme="minorHAnsi" w:hAnsiTheme="minorHAnsi"/>
                <w:b/>
              </w:rPr>
            </w:pPr>
            <w:r w:rsidRPr="00A2277A">
              <w:rPr>
                <w:rFonts w:asciiTheme="minorHAnsi" w:hAnsiTheme="minorHAnsi"/>
                <w:b/>
              </w:rPr>
              <w:t>Emission Standards (lbs/MWh)</w:t>
            </w:r>
          </w:p>
        </w:tc>
        <w:tc>
          <w:tcPr>
            <w:tcW w:w="3082" w:type="dxa"/>
            <w:tcBorders>
              <w:top w:val="single" w:sz="4" w:space="0" w:color="auto"/>
              <w:left w:val="single" w:sz="4" w:space="0" w:color="auto"/>
              <w:bottom w:val="single" w:sz="4" w:space="0" w:color="auto"/>
              <w:right w:val="single" w:sz="4" w:space="0" w:color="auto"/>
            </w:tcBorders>
          </w:tcPr>
          <w:p w:rsidR="009B2F9B" w:rsidRPr="00A2277A" w:rsidRDefault="009B2F9B" w:rsidP="00BF73EF">
            <w:pPr>
              <w:autoSpaceDE w:val="0"/>
              <w:autoSpaceDN w:val="0"/>
              <w:spacing w:after="120" w:line="240" w:lineRule="auto"/>
              <w:rPr>
                <w:rFonts w:asciiTheme="minorHAnsi" w:hAnsiTheme="minorHAnsi"/>
                <w:b/>
              </w:rPr>
            </w:pPr>
            <w:r w:rsidRPr="00A2277A">
              <w:rPr>
                <w:rFonts w:asciiTheme="minorHAnsi" w:hAnsiTheme="minorHAnsi"/>
                <w:b/>
              </w:rPr>
              <w:t>Emission Standards (g/kWh)</w:t>
            </w:r>
          </w:p>
        </w:tc>
      </w:tr>
      <w:tr w:rsidR="009B2F9B" w:rsidRPr="00A2277A" w:rsidTr="00A475FE">
        <w:trPr>
          <w:jc w:val="center"/>
        </w:trPr>
        <w:tc>
          <w:tcPr>
            <w:tcW w:w="2385" w:type="dxa"/>
            <w:tcBorders>
              <w:top w:val="single" w:sz="4" w:space="0" w:color="auto"/>
              <w:left w:val="single" w:sz="4" w:space="0" w:color="auto"/>
              <w:bottom w:val="single" w:sz="4" w:space="0" w:color="auto"/>
              <w:right w:val="single" w:sz="4" w:space="0" w:color="auto"/>
            </w:tcBorders>
          </w:tcPr>
          <w:p w:rsidR="009B2F9B" w:rsidRPr="00A2277A" w:rsidRDefault="009B2F9B" w:rsidP="00BF73EF">
            <w:pPr>
              <w:autoSpaceDE w:val="0"/>
              <w:autoSpaceDN w:val="0"/>
              <w:spacing w:after="120" w:line="240" w:lineRule="auto"/>
              <w:rPr>
                <w:rFonts w:asciiTheme="minorHAnsi" w:hAnsiTheme="minorHAnsi"/>
              </w:rPr>
            </w:pPr>
            <w:r w:rsidRPr="00A2277A">
              <w:rPr>
                <w:rFonts w:asciiTheme="minorHAnsi" w:hAnsiTheme="minorHAnsi"/>
              </w:rPr>
              <w:t>Nitrogen Oxides</w:t>
            </w:r>
          </w:p>
        </w:tc>
        <w:tc>
          <w:tcPr>
            <w:tcW w:w="3310" w:type="dxa"/>
            <w:tcBorders>
              <w:top w:val="single" w:sz="4" w:space="0" w:color="auto"/>
              <w:left w:val="single" w:sz="4" w:space="0" w:color="auto"/>
              <w:bottom w:val="single" w:sz="4" w:space="0" w:color="auto"/>
              <w:right w:val="single" w:sz="4" w:space="0" w:color="auto"/>
            </w:tcBorders>
          </w:tcPr>
          <w:p w:rsidR="009B2F9B" w:rsidRPr="00A2277A" w:rsidRDefault="009B2F9B" w:rsidP="00BF73EF">
            <w:pPr>
              <w:autoSpaceDE w:val="0"/>
              <w:autoSpaceDN w:val="0"/>
              <w:spacing w:after="120" w:line="240" w:lineRule="auto"/>
              <w:rPr>
                <w:rFonts w:asciiTheme="minorHAnsi" w:hAnsiTheme="minorHAnsi"/>
              </w:rPr>
            </w:pPr>
            <w:r w:rsidRPr="00A2277A">
              <w:rPr>
                <w:rFonts w:asciiTheme="minorHAnsi" w:hAnsiTheme="minorHAnsi"/>
              </w:rPr>
              <w:t>2.2</w:t>
            </w:r>
          </w:p>
        </w:tc>
        <w:tc>
          <w:tcPr>
            <w:tcW w:w="3082" w:type="dxa"/>
            <w:tcBorders>
              <w:top w:val="single" w:sz="4" w:space="0" w:color="auto"/>
              <w:left w:val="single" w:sz="4" w:space="0" w:color="auto"/>
              <w:bottom w:val="single" w:sz="4" w:space="0" w:color="auto"/>
              <w:right w:val="single" w:sz="4" w:space="0" w:color="auto"/>
            </w:tcBorders>
          </w:tcPr>
          <w:p w:rsidR="009B2F9B" w:rsidRPr="00A2277A" w:rsidRDefault="009B2F9B" w:rsidP="00BF73EF">
            <w:pPr>
              <w:autoSpaceDE w:val="0"/>
              <w:autoSpaceDN w:val="0"/>
              <w:spacing w:after="120" w:line="240" w:lineRule="auto"/>
              <w:rPr>
                <w:rFonts w:asciiTheme="minorHAnsi" w:hAnsiTheme="minorHAnsi"/>
              </w:rPr>
            </w:pPr>
            <w:r w:rsidRPr="00A2277A">
              <w:rPr>
                <w:rFonts w:asciiTheme="minorHAnsi" w:hAnsiTheme="minorHAnsi"/>
              </w:rPr>
              <w:t>1.0</w:t>
            </w:r>
          </w:p>
        </w:tc>
      </w:tr>
      <w:tr w:rsidR="009B2F9B" w:rsidRPr="00A2277A" w:rsidTr="00A475FE">
        <w:trPr>
          <w:jc w:val="center"/>
        </w:trPr>
        <w:tc>
          <w:tcPr>
            <w:tcW w:w="2385" w:type="dxa"/>
            <w:tcBorders>
              <w:top w:val="single" w:sz="4" w:space="0" w:color="auto"/>
              <w:left w:val="single" w:sz="4" w:space="0" w:color="auto"/>
              <w:bottom w:val="single" w:sz="4" w:space="0" w:color="auto"/>
              <w:right w:val="single" w:sz="4" w:space="0" w:color="auto"/>
            </w:tcBorders>
          </w:tcPr>
          <w:p w:rsidR="009B2F9B" w:rsidRPr="00A2277A" w:rsidRDefault="009B2F9B" w:rsidP="00BF73EF">
            <w:pPr>
              <w:autoSpaceDE w:val="0"/>
              <w:autoSpaceDN w:val="0"/>
              <w:spacing w:after="120" w:line="240" w:lineRule="auto"/>
              <w:rPr>
                <w:rFonts w:asciiTheme="minorHAnsi" w:hAnsiTheme="minorHAnsi"/>
              </w:rPr>
            </w:pPr>
            <w:r w:rsidRPr="00A2277A">
              <w:rPr>
                <w:rFonts w:asciiTheme="minorHAnsi" w:hAnsiTheme="minorHAnsi"/>
              </w:rPr>
              <w:t>Non</w:t>
            </w:r>
            <w:r>
              <w:rPr>
                <w:rFonts w:asciiTheme="minorHAnsi" w:hAnsiTheme="minorHAnsi"/>
              </w:rPr>
              <w:t>-</w:t>
            </w:r>
            <w:r w:rsidRPr="00A2277A">
              <w:rPr>
                <w:rFonts w:asciiTheme="minorHAnsi" w:hAnsiTheme="minorHAnsi"/>
              </w:rPr>
              <w:t>methane Hydrocarbons</w:t>
            </w:r>
          </w:p>
        </w:tc>
        <w:tc>
          <w:tcPr>
            <w:tcW w:w="3310" w:type="dxa"/>
            <w:tcBorders>
              <w:top w:val="single" w:sz="4" w:space="0" w:color="auto"/>
              <w:left w:val="single" w:sz="4" w:space="0" w:color="auto"/>
              <w:bottom w:val="single" w:sz="4" w:space="0" w:color="auto"/>
              <w:right w:val="single" w:sz="4" w:space="0" w:color="auto"/>
            </w:tcBorders>
          </w:tcPr>
          <w:p w:rsidR="009B2F9B" w:rsidRPr="00A2277A" w:rsidRDefault="009B2F9B" w:rsidP="00BF73EF">
            <w:pPr>
              <w:autoSpaceDE w:val="0"/>
              <w:autoSpaceDN w:val="0"/>
              <w:spacing w:after="120" w:line="240" w:lineRule="auto"/>
              <w:rPr>
                <w:rFonts w:asciiTheme="minorHAnsi" w:hAnsiTheme="minorHAnsi"/>
              </w:rPr>
            </w:pPr>
            <w:r w:rsidRPr="00A2277A">
              <w:rPr>
                <w:rFonts w:asciiTheme="minorHAnsi" w:hAnsiTheme="minorHAnsi"/>
              </w:rPr>
              <w:t>0.7</w:t>
            </w:r>
          </w:p>
        </w:tc>
        <w:tc>
          <w:tcPr>
            <w:tcW w:w="3082" w:type="dxa"/>
            <w:tcBorders>
              <w:top w:val="single" w:sz="4" w:space="0" w:color="auto"/>
              <w:left w:val="single" w:sz="4" w:space="0" w:color="auto"/>
              <w:bottom w:val="single" w:sz="4" w:space="0" w:color="auto"/>
              <w:right w:val="single" w:sz="4" w:space="0" w:color="auto"/>
            </w:tcBorders>
          </w:tcPr>
          <w:p w:rsidR="009B2F9B" w:rsidRPr="00A2277A" w:rsidRDefault="009B2F9B" w:rsidP="00BF73EF">
            <w:pPr>
              <w:autoSpaceDE w:val="0"/>
              <w:autoSpaceDN w:val="0"/>
              <w:spacing w:after="120" w:line="240" w:lineRule="auto"/>
              <w:rPr>
                <w:rFonts w:asciiTheme="minorHAnsi" w:hAnsiTheme="minorHAnsi"/>
              </w:rPr>
            </w:pPr>
            <w:r w:rsidRPr="00A2277A">
              <w:rPr>
                <w:rFonts w:asciiTheme="minorHAnsi" w:hAnsiTheme="minorHAnsi"/>
              </w:rPr>
              <w:t>0.32</w:t>
            </w:r>
          </w:p>
        </w:tc>
      </w:tr>
      <w:tr w:rsidR="009B2F9B" w:rsidRPr="00A2277A" w:rsidTr="00A475FE">
        <w:trPr>
          <w:jc w:val="center"/>
        </w:trPr>
        <w:tc>
          <w:tcPr>
            <w:tcW w:w="2385" w:type="dxa"/>
            <w:tcBorders>
              <w:top w:val="single" w:sz="4" w:space="0" w:color="auto"/>
              <w:left w:val="single" w:sz="4" w:space="0" w:color="auto"/>
              <w:bottom w:val="single" w:sz="4" w:space="0" w:color="auto"/>
              <w:right w:val="single" w:sz="4" w:space="0" w:color="auto"/>
            </w:tcBorders>
          </w:tcPr>
          <w:p w:rsidR="009B2F9B" w:rsidRPr="00A2277A" w:rsidRDefault="009B2F9B" w:rsidP="00BF73EF">
            <w:pPr>
              <w:autoSpaceDE w:val="0"/>
              <w:autoSpaceDN w:val="0"/>
              <w:spacing w:after="120" w:line="240" w:lineRule="auto"/>
              <w:rPr>
                <w:rFonts w:asciiTheme="minorHAnsi" w:hAnsiTheme="minorHAnsi"/>
              </w:rPr>
            </w:pPr>
            <w:r w:rsidRPr="00A2277A">
              <w:rPr>
                <w:rFonts w:asciiTheme="minorHAnsi" w:hAnsiTheme="minorHAnsi"/>
              </w:rPr>
              <w:t>Carbon Monoxide</w:t>
            </w:r>
          </w:p>
        </w:tc>
        <w:tc>
          <w:tcPr>
            <w:tcW w:w="3310" w:type="dxa"/>
            <w:tcBorders>
              <w:top w:val="single" w:sz="4" w:space="0" w:color="auto"/>
              <w:left w:val="single" w:sz="4" w:space="0" w:color="auto"/>
              <w:bottom w:val="single" w:sz="4" w:space="0" w:color="auto"/>
              <w:right w:val="single" w:sz="4" w:space="0" w:color="auto"/>
            </w:tcBorders>
          </w:tcPr>
          <w:p w:rsidR="009B2F9B" w:rsidRPr="00A2277A" w:rsidRDefault="009B2F9B" w:rsidP="00BF73EF">
            <w:pPr>
              <w:autoSpaceDE w:val="0"/>
              <w:autoSpaceDN w:val="0"/>
              <w:spacing w:after="120" w:line="240" w:lineRule="auto"/>
              <w:rPr>
                <w:rFonts w:asciiTheme="minorHAnsi" w:hAnsiTheme="minorHAnsi"/>
              </w:rPr>
            </w:pPr>
            <w:r w:rsidRPr="00A2277A">
              <w:rPr>
                <w:rFonts w:asciiTheme="minorHAnsi" w:hAnsiTheme="minorHAnsi"/>
              </w:rPr>
              <w:t>10.0</w:t>
            </w:r>
          </w:p>
        </w:tc>
        <w:tc>
          <w:tcPr>
            <w:tcW w:w="3082" w:type="dxa"/>
            <w:tcBorders>
              <w:top w:val="single" w:sz="4" w:space="0" w:color="auto"/>
              <w:left w:val="single" w:sz="4" w:space="0" w:color="auto"/>
              <w:bottom w:val="single" w:sz="4" w:space="0" w:color="auto"/>
              <w:right w:val="single" w:sz="4" w:space="0" w:color="auto"/>
            </w:tcBorders>
          </w:tcPr>
          <w:p w:rsidR="009B2F9B" w:rsidRPr="00A2277A" w:rsidRDefault="009B2F9B" w:rsidP="00BF73EF">
            <w:pPr>
              <w:autoSpaceDE w:val="0"/>
              <w:autoSpaceDN w:val="0"/>
              <w:spacing w:after="120" w:line="240" w:lineRule="auto"/>
              <w:rPr>
                <w:rFonts w:asciiTheme="minorHAnsi" w:hAnsiTheme="minorHAnsi"/>
              </w:rPr>
            </w:pPr>
            <w:r w:rsidRPr="00A2277A">
              <w:rPr>
                <w:rFonts w:asciiTheme="minorHAnsi" w:hAnsiTheme="minorHAnsi"/>
              </w:rPr>
              <w:t>4.5</w:t>
            </w:r>
          </w:p>
        </w:tc>
      </w:tr>
    </w:tbl>
    <w:p w:rsidR="009B2F9B" w:rsidRPr="00A2277A" w:rsidRDefault="009B2F9B" w:rsidP="00B97006">
      <w:pPr>
        <w:pStyle w:val="NoSpacing"/>
        <w:spacing w:before="200" w:after="200"/>
        <w:ind w:left="360"/>
        <w:rPr>
          <w:rFonts w:asciiTheme="minorHAnsi" w:hAnsiTheme="minorHAnsi"/>
        </w:rPr>
      </w:pPr>
      <w:r w:rsidRPr="00A2277A">
        <w:rPr>
          <w:rFonts w:asciiTheme="minorHAnsi" w:hAnsiTheme="minorHAnsi"/>
        </w:rPr>
        <w:t xml:space="preserve">For existing, non-emergency generators, the emissions standard would be as listed in </w:t>
      </w:r>
      <w:r w:rsidR="006633FD">
        <w:rPr>
          <w:rFonts w:asciiTheme="minorHAnsi" w:hAnsiTheme="minorHAnsi"/>
        </w:rPr>
        <w:t xml:space="preserve">Table </w:t>
      </w:r>
      <w:r w:rsidR="0060782B">
        <w:rPr>
          <w:noProof/>
        </w:rPr>
        <mc:AlternateContent>
          <mc:Choice Requires="wps">
            <w:drawing>
              <wp:anchor distT="0" distB="0" distL="114300" distR="114300" simplePos="0" relativeHeight="251732992" behindDoc="0" locked="1" layoutInCell="1" allowOverlap="0" wp14:anchorId="37F0C09B" wp14:editId="2A19CA42">
                <wp:simplePos x="0" y="0"/>
                <wp:positionH relativeFrom="margin">
                  <wp:posOffset>2990850</wp:posOffset>
                </wp:positionH>
                <wp:positionV relativeFrom="bottomMargin">
                  <wp:posOffset>167005</wp:posOffset>
                </wp:positionV>
                <wp:extent cx="914400" cy="237490"/>
                <wp:effectExtent l="0" t="0" r="0" b="0"/>
                <wp:wrapNone/>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237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782B" w:rsidRDefault="0060782B" w:rsidP="0060782B">
                            <w:pPr>
                              <w:ind w:right="60"/>
                              <w:rPr>
                                <w:rFonts w:asciiTheme="minorHAnsi" w:hAnsiTheme="minorHAnsi"/>
                                <w:sz w:val="20"/>
                                <w:szCs w:val="20"/>
                              </w:rPr>
                            </w:pPr>
                            <w:hyperlink w:anchor="TOC" w:history="1">
                              <w:r>
                                <w:rPr>
                                  <w:rStyle w:val="Hyperlink"/>
                                  <w:sz w:val="20"/>
                                  <w:szCs w:val="20"/>
                                </w:rPr>
                                <w:t>Back to TOC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0C09B" id="Text Box 204" o:spid="_x0000_s1053" type="#_x0000_t202" style="position:absolute;left:0;text-align:left;margin-left:235.5pt;margin-top:13.15pt;width:1in;height:18.7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K/6lwIAAK4FAAAOAAAAZHJzL2Uyb0RvYy54bWysVN9PGzEMfp+0/yHK+7hrKWycuKIOxDSp&#10;AjSYeE5zCY1I4ixJe9f99XNy1x8wXpj2cufEn+3Y/uzzi85oshY+KLA1HR2VlAjLoVH2qaY/H64/&#10;faEkRGYbpsGKmm5EoBfTjx/OW1eJMSxBN8ITdGJD1bqaLmN0VVEEvhSGhSNwwqJSgjcs4tE/FY1n&#10;LXo3uhiX5WnRgm+cBy5CwNurXkmn2b+UgsdbKYOIRNcU3xbz1+fvIn2L6TmrnjxzS8WHZ7B/eIVh&#10;ymLQnasrFhlZefWXK6O4hwAyHnEwBUipuMg5YDaj8lU290vmRM4FixPcrkzh/7nlN+s7T1RT03E5&#10;ocQyg016EF0kX6Ej6Q4r1LpQIfDeITR2qMBO52yDmwN/DggpDjC9QUB0qkgnvUl/zJWgITZhsyt8&#10;isPx8mw0mZSo4agaH3+enOXGFHtj50P8JsCQJNTUY1/zA9h6HmIKz6otJMUKoFVzrbTOh8Qlcak9&#10;WTNkgY6jlBNavEBpS9qanh6flNmxhWTe47RNbkRm0xAuZdsnmKW40SJhtP0hJFYz5/lGbMa5sLv4&#10;GZ1QEkO9x3DA71/1HuM+D7TIkcHGnbFRFnzf15cla563JZM9fuh36PNOJYjdoss0Os7QdLWAZoOE&#10;8dAPXXD8WmH35izEO+ZxyrDhuDniLX6kBqw+DBIlS/C/37pPeCQ/ailpcWprGn6tmBeU6O8WxyIT&#10;Ccc8HyYnn8cYwx9qFocauzKXgJQY4Y5yPIsJH/VWlB7MIy6YWYqKKmY5xq5p3IqXsd8luKC4mM0y&#10;CAfbsTi3945v5yRx86F7ZN4NBI7I/BvYzjerXvG4x6YGWZitIkiVSb6v6tAAXAqZycMCS1vn8JxR&#10;+zU7/QMAAP//AwBQSwMEFAAGAAgAAAAhAJuTY4rgAAAACQEAAA8AAABkcnMvZG93bnJldi54bWxM&#10;jzFvwjAQhfdK/AfrkLqg4gRKqNI4qKqKBANDQxc2E1+TqPE5sg2k/77Xqd3u7j29+16xGW0vruhD&#10;50hBOk9AINXOdNQo+DhuH55AhKjJ6N4RKvjGAJtyclfo3LgbveO1io3gEAq5VtDGOORShrpFq8Pc&#10;DUisfTpvdeTVN9J4feNw28tFkmTS6o74Q6sHfG2x/qouVsEhnHazk99tZ1Uwco94eNunUan76fjy&#10;DCLiGP/M8IvP6FAy09ldyATRK3hcp9wlKlhkSxBsyNIVH848LNcgy0L+b1D+AAAA//8DAFBLAQIt&#10;ABQABgAIAAAAIQC2gziS/gAAAOEBAAATAAAAAAAAAAAAAAAAAAAAAABbQ29udGVudF9UeXBlc10u&#10;eG1sUEsBAi0AFAAGAAgAAAAhADj9If/WAAAAlAEAAAsAAAAAAAAAAAAAAAAALwEAAF9yZWxzLy5y&#10;ZWxzUEsBAi0AFAAGAAgAAAAhAK0Ar/qXAgAArgUAAA4AAAAAAAAAAAAAAAAALgIAAGRycy9lMm9E&#10;b2MueG1sUEsBAi0AFAAGAAgAAAAhAJuTY4rgAAAACQEAAA8AAAAAAAAAAAAAAAAA8QQAAGRycy9k&#10;b3ducmV2LnhtbFBLBQYAAAAABAAEAPMAAAD+BQAAAAA=&#10;" o:allowoverlap="f" fillcolor="white [3201]" stroked="f" strokeweight=".5pt">
                <v:path arrowok="t"/>
                <v:textbox>
                  <w:txbxContent>
                    <w:p w:rsidR="0060782B" w:rsidRDefault="0060782B" w:rsidP="0060782B">
                      <w:pPr>
                        <w:ind w:right="60"/>
                        <w:rPr>
                          <w:rFonts w:asciiTheme="minorHAnsi" w:hAnsiTheme="minorHAnsi"/>
                          <w:sz w:val="20"/>
                          <w:szCs w:val="20"/>
                        </w:rPr>
                      </w:pPr>
                      <w:hyperlink w:anchor="TOC" w:history="1">
                        <w:r>
                          <w:rPr>
                            <w:rStyle w:val="Hyperlink"/>
                            <w:sz w:val="20"/>
                            <w:szCs w:val="20"/>
                          </w:rPr>
                          <w:t>Back to TOC</w:t>
                        </w:r>
                      </w:hyperlink>
                    </w:p>
                  </w:txbxContent>
                </v:textbox>
                <w10:wrap anchorx="margin" anchory="margin"/>
                <w10:anchorlock/>
              </v:shape>
            </w:pict>
          </mc:Fallback>
        </mc:AlternateContent>
      </w:r>
      <w:r w:rsidR="006633FD">
        <w:rPr>
          <w:rFonts w:asciiTheme="minorHAnsi" w:hAnsiTheme="minorHAnsi"/>
        </w:rPr>
        <w:t>3-3</w:t>
      </w:r>
      <w:r w:rsidRPr="00A2277A">
        <w:rPr>
          <w:rFonts w:asciiTheme="minorHAnsi" w:hAnsiTheme="minorHAnsi"/>
        </w:rPr>
        <w:t>:</w:t>
      </w:r>
    </w:p>
    <w:p w:rsidR="00B97006" w:rsidRPr="00B97006" w:rsidRDefault="00B97006" w:rsidP="00B97006">
      <w:pPr>
        <w:pStyle w:val="Caption"/>
        <w:keepNext/>
        <w:spacing w:before="120" w:after="120"/>
        <w:rPr>
          <w:rFonts w:asciiTheme="minorHAnsi" w:hAnsiTheme="minorHAnsi"/>
          <w:sz w:val="22"/>
          <w:szCs w:val="22"/>
        </w:rPr>
      </w:pPr>
      <w:bookmarkStart w:id="241" w:name="_Toc461106804"/>
      <w:r w:rsidRPr="00B97006">
        <w:rPr>
          <w:rFonts w:asciiTheme="minorHAnsi" w:hAnsiTheme="minorHAnsi"/>
          <w:sz w:val="22"/>
          <w:szCs w:val="22"/>
        </w:rPr>
        <w:t>Table 3-3</w:t>
      </w:r>
      <w:r w:rsidR="00FD75BF">
        <w:rPr>
          <w:rFonts w:asciiTheme="minorHAnsi" w:hAnsiTheme="minorHAnsi"/>
          <w:sz w:val="22"/>
          <w:szCs w:val="22"/>
        </w:rPr>
        <w:tab/>
      </w:r>
      <w:r w:rsidR="00BF73EF" w:rsidRPr="00BF73EF">
        <w:rPr>
          <w:rFonts w:asciiTheme="minorHAnsi" w:hAnsiTheme="minorHAnsi"/>
          <w:sz w:val="22"/>
          <w:szCs w:val="22"/>
        </w:rPr>
        <w:t>Emissions standard for existing, non-emergency generators</w:t>
      </w:r>
      <w:bookmarkEnd w:id="241"/>
    </w:p>
    <w:tbl>
      <w:tblPr>
        <w:tblW w:w="0" w:type="auto"/>
        <w:jc w:val="center"/>
        <w:tblCellMar>
          <w:left w:w="0" w:type="dxa"/>
          <w:right w:w="0" w:type="dxa"/>
        </w:tblCellMar>
        <w:tblLook w:val="0000" w:firstRow="0" w:lastRow="0" w:firstColumn="0" w:lastColumn="0" w:noHBand="0" w:noVBand="0"/>
      </w:tblPr>
      <w:tblGrid>
        <w:gridCol w:w="4012"/>
        <w:gridCol w:w="1980"/>
        <w:gridCol w:w="2391"/>
      </w:tblGrid>
      <w:tr w:rsidR="009B2F9B" w:rsidRPr="00A2277A" w:rsidTr="00A475FE">
        <w:trPr>
          <w:jc w:val="center"/>
        </w:trPr>
        <w:tc>
          <w:tcPr>
            <w:tcW w:w="4012" w:type="dxa"/>
            <w:tcBorders>
              <w:top w:val="single" w:sz="4" w:space="0" w:color="auto"/>
              <w:left w:val="single" w:sz="4" w:space="0" w:color="auto"/>
              <w:right w:val="single" w:sz="4" w:space="0" w:color="auto"/>
            </w:tcBorders>
          </w:tcPr>
          <w:p w:rsidR="009B2F9B" w:rsidRPr="00A2277A" w:rsidRDefault="009B2F9B" w:rsidP="00B97006">
            <w:pPr>
              <w:autoSpaceDE w:val="0"/>
              <w:autoSpaceDN w:val="0"/>
              <w:spacing w:after="120" w:line="240" w:lineRule="auto"/>
              <w:jc w:val="both"/>
              <w:rPr>
                <w:rFonts w:asciiTheme="minorHAnsi" w:hAnsiTheme="minorHAnsi"/>
                <w:b/>
              </w:rPr>
            </w:pPr>
          </w:p>
        </w:tc>
        <w:tc>
          <w:tcPr>
            <w:tcW w:w="1980" w:type="dxa"/>
            <w:tcBorders>
              <w:top w:val="single" w:sz="4" w:space="0" w:color="auto"/>
              <w:left w:val="single" w:sz="4" w:space="0" w:color="auto"/>
              <w:right w:val="single" w:sz="4" w:space="0" w:color="auto"/>
            </w:tcBorders>
          </w:tcPr>
          <w:p w:rsidR="009B2F9B" w:rsidRPr="00A2277A" w:rsidRDefault="009B2F9B" w:rsidP="00B97006">
            <w:pPr>
              <w:autoSpaceDE w:val="0"/>
              <w:autoSpaceDN w:val="0"/>
              <w:spacing w:after="120" w:line="240" w:lineRule="auto"/>
              <w:rPr>
                <w:rFonts w:asciiTheme="minorHAnsi" w:hAnsiTheme="minorHAnsi"/>
                <w:b/>
              </w:rPr>
            </w:pPr>
            <w:r w:rsidRPr="00A2277A">
              <w:rPr>
                <w:rFonts w:asciiTheme="minorHAnsi" w:hAnsiTheme="minorHAnsi"/>
                <w:b/>
              </w:rPr>
              <w:t>Emission Standard</w:t>
            </w:r>
          </w:p>
        </w:tc>
        <w:tc>
          <w:tcPr>
            <w:tcW w:w="2391" w:type="dxa"/>
            <w:tcBorders>
              <w:top w:val="single" w:sz="4" w:space="0" w:color="auto"/>
              <w:left w:val="single" w:sz="4" w:space="0" w:color="auto"/>
              <w:right w:val="single" w:sz="4" w:space="0" w:color="auto"/>
            </w:tcBorders>
          </w:tcPr>
          <w:p w:rsidR="009B2F9B" w:rsidRPr="00A2277A" w:rsidRDefault="009B2F9B" w:rsidP="00B97006">
            <w:pPr>
              <w:autoSpaceDE w:val="0"/>
              <w:autoSpaceDN w:val="0"/>
              <w:spacing w:after="120" w:line="240" w:lineRule="auto"/>
              <w:rPr>
                <w:rFonts w:asciiTheme="minorHAnsi" w:hAnsiTheme="minorHAnsi"/>
                <w:b/>
              </w:rPr>
            </w:pPr>
            <w:r w:rsidRPr="00A2277A">
              <w:rPr>
                <w:rFonts w:asciiTheme="minorHAnsi" w:hAnsiTheme="minorHAnsi"/>
                <w:b/>
              </w:rPr>
              <w:t>Emission Standard</w:t>
            </w:r>
          </w:p>
        </w:tc>
      </w:tr>
      <w:tr w:rsidR="009B2F9B" w:rsidRPr="00A2277A" w:rsidTr="00A475FE">
        <w:trPr>
          <w:jc w:val="center"/>
        </w:trPr>
        <w:tc>
          <w:tcPr>
            <w:tcW w:w="4012" w:type="dxa"/>
            <w:tcBorders>
              <w:left w:val="single" w:sz="4" w:space="0" w:color="auto"/>
              <w:bottom w:val="single" w:sz="4" w:space="0" w:color="auto"/>
              <w:right w:val="single" w:sz="4" w:space="0" w:color="auto"/>
            </w:tcBorders>
          </w:tcPr>
          <w:p w:rsidR="009B2F9B" w:rsidRPr="00A2277A" w:rsidRDefault="009B2F9B" w:rsidP="00B97006">
            <w:pPr>
              <w:autoSpaceDE w:val="0"/>
              <w:autoSpaceDN w:val="0"/>
              <w:spacing w:after="120" w:line="240" w:lineRule="auto"/>
              <w:rPr>
                <w:rFonts w:asciiTheme="minorHAnsi" w:hAnsiTheme="minorHAnsi"/>
                <w:b/>
              </w:rPr>
            </w:pPr>
            <w:r w:rsidRPr="00A2277A">
              <w:rPr>
                <w:rFonts w:asciiTheme="minorHAnsi" w:hAnsiTheme="minorHAnsi"/>
                <w:b/>
              </w:rPr>
              <w:t>Pollutant</w:t>
            </w:r>
          </w:p>
        </w:tc>
        <w:tc>
          <w:tcPr>
            <w:tcW w:w="1980" w:type="dxa"/>
            <w:tcBorders>
              <w:left w:val="single" w:sz="4" w:space="0" w:color="auto"/>
              <w:bottom w:val="single" w:sz="4" w:space="0" w:color="auto"/>
              <w:right w:val="single" w:sz="4" w:space="0" w:color="auto"/>
            </w:tcBorders>
          </w:tcPr>
          <w:p w:rsidR="009B2F9B" w:rsidRPr="00A2277A" w:rsidRDefault="009B2F9B" w:rsidP="00B97006">
            <w:pPr>
              <w:autoSpaceDE w:val="0"/>
              <w:autoSpaceDN w:val="0"/>
              <w:spacing w:after="120" w:line="240" w:lineRule="auto"/>
              <w:rPr>
                <w:rFonts w:asciiTheme="minorHAnsi" w:hAnsiTheme="minorHAnsi"/>
                <w:b/>
              </w:rPr>
            </w:pPr>
            <w:r w:rsidRPr="00A2277A">
              <w:rPr>
                <w:rFonts w:asciiTheme="minorHAnsi" w:hAnsiTheme="minorHAnsi"/>
                <w:b/>
              </w:rPr>
              <w:t>(lbs/MWh)</w:t>
            </w:r>
          </w:p>
        </w:tc>
        <w:tc>
          <w:tcPr>
            <w:tcW w:w="2391" w:type="dxa"/>
            <w:tcBorders>
              <w:left w:val="single" w:sz="4" w:space="0" w:color="auto"/>
              <w:bottom w:val="single" w:sz="4" w:space="0" w:color="auto"/>
              <w:right w:val="single" w:sz="4" w:space="0" w:color="auto"/>
            </w:tcBorders>
          </w:tcPr>
          <w:p w:rsidR="009B2F9B" w:rsidRPr="00A2277A" w:rsidRDefault="009B2F9B" w:rsidP="00B97006">
            <w:pPr>
              <w:autoSpaceDE w:val="0"/>
              <w:autoSpaceDN w:val="0"/>
              <w:spacing w:after="120" w:line="240" w:lineRule="auto"/>
              <w:rPr>
                <w:rFonts w:asciiTheme="minorHAnsi" w:hAnsiTheme="minorHAnsi"/>
                <w:b/>
              </w:rPr>
            </w:pPr>
            <w:r w:rsidRPr="00A2277A">
              <w:rPr>
                <w:rFonts w:asciiTheme="minorHAnsi" w:hAnsiTheme="minorHAnsi"/>
                <w:b/>
              </w:rPr>
              <w:t>(g/kWh)</w:t>
            </w:r>
          </w:p>
        </w:tc>
      </w:tr>
      <w:tr w:rsidR="009B2F9B" w:rsidRPr="00A2277A" w:rsidTr="00A475FE">
        <w:trPr>
          <w:jc w:val="center"/>
        </w:trPr>
        <w:tc>
          <w:tcPr>
            <w:tcW w:w="4012" w:type="dxa"/>
            <w:tcBorders>
              <w:top w:val="single" w:sz="4" w:space="0" w:color="auto"/>
              <w:left w:val="single" w:sz="4" w:space="0" w:color="auto"/>
              <w:bottom w:val="single" w:sz="4" w:space="0" w:color="auto"/>
              <w:right w:val="single" w:sz="4" w:space="0" w:color="auto"/>
            </w:tcBorders>
          </w:tcPr>
          <w:p w:rsidR="009B2F9B" w:rsidRPr="00A2277A" w:rsidRDefault="009B2F9B" w:rsidP="00B97006">
            <w:pPr>
              <w:autoSpaceDE w:val="0"/>
              <w:autoSpaceDN w:val="0"/>
              <w:spacing w:after="120" w:line="240" w:lineRule="auto"/>
              <w:rPr>
                <w:rFonts w:asciiTheme="minorHAnsi" w:hAnsiTheme="minorHAnsi"/>
              </w:rPr>
            </w:pPr>
            <w:r w:rsidRPr="00A2277A">
              <w:rPr>
                <w:rFonts w:asciiTheme="minorHAnsi" w:hAnsiTheme="minorHAnsi"/>
              </w:rPr>
              <w:t>Nitrogen Oxides</w:t>
            </w:r>
          </w:p>
        </w:tc>
        <w:tc>
          <w:tcPr>
            <w:tcW w:w="1980" w:type="dxa"/>
            <w:tcBorders>
              <w:top w:val="single" w:sz="4" w:space="0" w:color="auto"/>
              <w:left w:val="single" w:sz="4" w:space="0" w:color="auto"/>
              <w:bottom w:val="single" w:sz="4" w:space="0" w:color="auto"/>
              <w:right w:val="single" w:sz="4" w:space="0" w:color="auto"/>
            </w:tcBorders>
          </w:tcPr>
          <w:p w:rsidR="009B2F9B" w:rsidRPr="00A2277A" w:rsidRDefault="009B2F9B" w:rsidP="00B97006">
            <w:pPr>
              <w:autoSpaceDE w:val="0"/>
              <w:autoSpaceDN w:val="0"/>
              <w:spacing w:after="120" w:line="240" w:lineRule="auto"/>
              <w:rPr>
                <w:rFonts w:asciiTheme="minorHAnsi" w:hAnsiTheme="minorHAnsi"/>
              </w:rPr>
            </w:pPr>
            <w:r w:rsidRPr="00A2277A">
              <w:rPr>
                <w:rFonts w:asciiTheme="minorHAnsi" w:hAnsiTheme="minorHAnsi"/>
              </w:rPr>
              <w:t>4.0</w:t>
            </w:r>
          </w:p>
        </w:tc>
        <w:tc>
          <w:tcPr>
            <w:tcW w:w="2391" w:type="dxa"/>
            <w:tcBorders>
              <w:top w:val="single" w:sz="4" w:space="0" w:color="auto"/>
              <w:left w:val="single" w:sz="4" w:space="0" w:color="auto"/>
              <w:bottom w:val="single" w:sz="4" w:space="0" w:color="auto"/>
              <w:right w:val="single" w:sz="4" w:space="0" w:color="auto"/>
            </w:tcBorders>
          </w:tcPr>
          <w:p w:rsidR="009B2F9B" w:rsidRPr="00A2277A" w:rsidRDefault="009B2F9B" w:rsidP="00B97006">
            <w:pPr>
              <w:autoSpaceDE w:val="0"/>
              <w:autoSpaceDN w:val="0"/>
              <w:spacing w:after="120" w:line="240" w:lineRule="auto"/>
              <w:rPr>
                <w:rFonts w:asciiTheme="minorHAnsi" w:hAnsiTheme="minorHAnsi"/>
              </w:rPr>
            </w:pPr>
            <w:r w:rsidRPr="00A2277A">
              <w:rPr>
                <w:rFonts w:asciiTheme="minorHAnsi" w:hAnsiTheme="minorHAnsi"/>
              </w:rPr>
              <w:t>1.8</w:t>
            </w:r>
          </w:p>
        </w:tc>
      </w:tr>
      <w:tr w:rsidR="009B2F9B" w:rsidRPr="00A2277A" w:rsidTr="00A475FE">
        <w:trPr>
          <w:jc w:val="center"/>
        </w:trPr>
        <w:tc>
          <w:tcPr>
            <w:tcW w:w="4012" w:type="dxa"/>
            <w:tcBorders>
              <w:top w:val="single" w:sz="4" w:space="0" w:color="auto"/>
              <w:left w:val="single" w:sz="4" w:space="0" w:color="auto"/>
              <w:bottom w:val="single" w:sz="4" w:space="0" w:color="auto"/>
              <w:right w:val="single" w:sz="4" w:space="0" w:color="auto"/>
            </w:tcBorders>
          </w:tcPr>
          <w:p w:rsidR="009B2F9B" w:rsidRPr="00A2277A" w:rsidRDefault="009B2F9B" w:rsidP="00B97006">
            <w:pPr>
              <w:autoSpaceDE w:val="0"/>
              <w:autoSpaceDN w:val="0"/>
              <w:spacing w:after="120" w:line="240" w:lineRule="auto"/>
              <w:rPr>
                <w:rFonts w:asciiTheme="minorHAnsi" w:hAnsiTheme="minorHAnsi"/>
              </w:rPr>
            </w:pPr>
            <w:r w:rsidRPr="00A2277A">
              <w:rPr>
                <w:rFonts w:asciiTheme="minorHAnsi" w:hAnsiTheme="minorHAnsi"/>
              </w:rPr>
              <w:t>Non</w:t>
            </w:r>
            <w:r>
              <w:rPr>
                <w:rFonts w:asciiTheme="minorHAnsi" w:hAnsiTheme="minorHAnsi"/>
              </w:rPr>
              <w:t>-</w:t>
            </w:r>
            <w:r w:rsidRPr="00A2277A">
              <w:rPr>
                <w:rFonts w:asciiTheme="minorHAnsi" w:hAnsiTheme="minorHAnsi"/>
              </w:rPr>
              <w:t>methane Hydrocarbons</w:t>
            </w:r>
          </w:p>
        </w:tc>
        <w:tc>
          <w:tcPr>
            <w:tcW w:w="1980" w:type="dxa"/>
            <w:tcBorders>
              <w:top w:val="single" w:sz="4" w:space="0" w:color="auto"/>
              <w:left w:val="single" w:sz="4" w:space="0" w:color="auto"/>
              <w:bottom w:val="single" w:sz="4" w:space="0" w:color="auto"/>
              <w:right w:val="single" w:sz="4" w:space="0" w:color="auto"/>
            </w:tcBorders>
          </w:tcPr>
          <w:p w:rsidR="009B2F9B" w:rsidRPr="00A2277A" w:rsidRDefault="009B2F9B" w:rsidP="00B97006">
            <w:pPr>
              <w:autoSpaceDE w:val="0"/>
              <w:autoSpaceDN w:val="0"/>
              <w:spacing w:after="120" w:line="240" w:lineRule="auto"/>
              <w:rPr>
                <w:rFonts w:asciiTheme="minorHAnsi" w:hAnsiTheme="minorHAnsi"/>
              </w:rPr>
            </w:pPr>
            <w:r w:rsidRPr="00A2277A">
              <w:rPr>
                <w:rFonts w:asciiTheme="minorHAnsi" w:hAnsiTheme="minorHAnsi"/>
              </w:rPr>
              <w:t>1.9</w:t>
            </w:r>
          </w:p>
        </w:tc>
        <w:tc>
          <w:tcPr>
            <w:tcW w:w="2391" w:type="dxa"/>
            <w:tcBorders>
              <w:top w:val="single" w:sz="4" w:space="0" w:color="auto"/>
              <w:left w:val="single" w:sz="4" w:space="0" w:color="auto"/>
              <w:bottom w:val="single" w:sz="4" w:space="0" w:color="auto"/>
              <w:right w:val="single" w:sz="4" w:space="0" w:color="auto"/>
            </w:tcBorders>
          </w:tcPr>
          <w:p w:rsidR="009B2F9B" w:rsidRPr="00A2277A" w:rsidRDefault="009B2F9B" w:rsidP="00B97006">
            <w:pPr>
              <w:autoSpaceDE w:val="0"/>
              <w:autoSpaceDN w:val="0"/>
              <w:spacing w:after="120" w:line="240" w:lineRule="auto"/>
              <w:rPr>
                <w:rFonts w:asciiTheme="minorHAnsi" w:hAnsiTheme="minorHAnsi"/>
              </w:rPr>
            </w:pPr>
            <w:r w:rsidRPr="00A2277A">
              <w:rPr>
                <w:rFonts w:asciiTheme="minorHAnsi" w:hAnsiTheme="minorHAnsi"/>
              </w:rPr>
              <w:t>0.86</w:t>
            </w:r>
          </w:p>
        </w:tc>
      </w:tr>
      <w:tr w:rsidR="009B2F9B" w:rsidRPr="00A2277A" w:rsidTr="00A475FE">
        <w:trPr>
          <w:jc w:val="center"/>
        </w:trPr>
        <w:tc>
          <w:tcPr>
            <w:tcW w:w="4012" w:type="dxa"/>
            <w:tcBorders>
              <w:top w:val="single" w:sz="4" w:space="0" w:color="auto"/>
              <w:left w:val="single" w:sz="4" w:space="0" w:color="auto"/>
              <w:bottom w:val="single" w:sz="4" w:space="0" w:color="auto"/>
              <w:right w:val="single" w:sz="4" w:space="0" w:color="auto"/>
            </w:tcBorders>
          </w:tcPr>
          <w:p w:rsidR="009B2F9B" w:rsidRPr="00A2277A" w:rsidRDefault="009B2F9B" w:rsidP="00B97006">
            <w:pPr>
              <w:autoSpaceDE w:val="0"/>
              <w:autoSpaceDN w:val="0"/>
              <w:spacing w:after="120" w:line="240" w:lineRule="auto"/>
              <w:rPr>
                <w:rFonts w:asciiTheme="minorHAnsi" w:hAnsiTheme="minorHAnsi"/>
              </w:rPr>
            </w:pPr>
            <w:r w:rsidRPr="00A2277A">
              <w:rPr>
                <w:rFonts w:asciiTheme="minorHAnsi" w:hAnsiTheme="minorHAnsi"/>
              </w:rPr>
              <w:t>Particulate Matter</w:t>
            </w:r>
          </w:p>
          <w:p w:rsidR="009B2F9B" w:rsidRPr="00A2277A" w:rsidRDefault="009B2F9B" w:rsidP="00B97006">
            <w:pPr>
              <w:autoSpaceDE w:val="0"/>
              <w:autoSpaceDN w:val="0"/>
              <w:spacing w:after="120" w:line="240" w:lineRule="auto"/>
              <w:rPr>
                <w:rFonts w:asciiTheme="minorHAnsi" w:hAnsiTheme="minorHAnsi"/>
              </w:rPr>
            </w:pPr>
            <w:r w:rsidRPr="00A2277A">
              <w:rPr>
                <w:rFonts w:asciiTheme="minorHAnsi" w:hAnsiTheme="minorHAnsi"/>
              </w:rPr>
              <w:t>(liquid-fueled reciprocating engines only)</w:t>
            </w:r>
          </w:p>
        </w:tc>
        <w:tc>
          <w:tcPr>
            <w:tcW w:w="1980" w:type="dxa"/>
            <w:tcBorders>
              <w:top w:val="single" w:sz="4" w:space="0" w:color="auto"/>
              <w:left w:val="single" w:sz="4" w:space="0" w:color="auto"/>
              <w:bottom w:val="single" w:sz="4" w:space="0" w:color="auto"/>
              <w:right w:val="single" w:sz="4" w:space="0" w:color="auto"/>
            </w:tcBorders>
            <w:vAlign w:val="center"/>
          </w:tcPr>
          <w:p w:rsidR="009B2F9B" w:rsidRPr="00A2277A" w:rsidRDefault="009B2F9B" w:rsidP="00B97006">
            <w:pPr>
              <w:autoSpaceDE w:val="0"/>
              <w:autoSpaceDN w:val="0"/>
              <w:spacing w:after="120" w:line="240" w:lineRule="auto"/>
              <w:rPr>
                <w:rFonts w:asciiTheme="minorHAnsi" w:hAnsiTheme="minorHAnsi"/>
              </w:rPr>
            </w:pPr>
            <w:r w:rsidRPr="00A2277A">
              <w:rPr>
                <w:rFonts w:asciiTheme="minorHAnsi" w:hAnsiTheme="minorHAnsi"/>
              </w:rPr>
              <w:t>0.7</w:t>
            </w:r>
          </w:p>
        </w:tc>
        <w:tc>
          <w:tcPr>
            <w:tcW w:w="2391" w:type="dxa"/>
            <w:tcBorders>
              <w:top w:val="single" w:sz="4" w:space="0" w:color="auto"/>
              <w:left w:val="single" w:sz="4" w:space="0" w:color="auto"/>
              <w:bottom w:val="single" w:sz="4" w:space="0" w:color="auto"/>
              <w:right w:val="single" w:sz="4" w:space="0" w:color="auto"/>
            </w:tcBorders>
            <w:vAlign w:val="center"/>
          </w:tcPr>
          <w:p w:rsidR="009B2F9B" w:rsidRPr="00A2277A" w:rsidRDefault="009B2F9B" w:rsidP="00B97006">
            <w:pPr>
              <w:autoSpaceDE w:val="0"/>
              <w:autoSpaceDN w:val="0"/>
              <w:spacing w:after="120" w:line="240" w:lineRule="auto"/>
              <w:rPr>
                <w:rFonts w:asciiTheme="minorHAnsi" w:hAnsiTheme="minorHAnsi"/>
              </w:rPr>
            </w:pPr>
            <w:r w:rsidRPr="00A2277A">
              <w:rPr>
                <w:rFonts w:asciiTheme="minorHAnsi" w:hAnsiTheme="minorHAnsi"/>
              </w:rPr>
              <w:t>0.32</w:t>
            </w:r>
          </w:p>
        </w:tc>
      </w:tr>
      <w:tr w:rsidR="009B2F9B" w:rsidRPr="00A2277A" w:rsidTr="00A475FE">
        <w:trPr>
          <w:jc w:val="center"/>
        </w:trPr>
        <w:tc>
          <w:tcPr>
            <w:tcW w:w="4012" w:type="dxa"/>
            <w:tcBorders>
              <w:top w:val="single" w:sz="4" w:space="0" w:color="auto"/>
              <w:left w:val="single" w:sz="4" w:space="0" w:color="auto"/>
              <w:bottom w:val="single" w:sz="4" w:space="0" w:color="auto"/>
              <w:right w:val="single" w:sz="4" w:space="0" w:color="auto"/>
            </w:tcBorders>
          </w:tcPr>
          <w:p w:rsidR="009B2F9B" w:rsidRPr="00A2277A" w:rsidRDefault="009B2F9B" w:rsidP="00B97006">
            <w:pPr>
              <w:autoSpaceDE w:val="0"/>
              <w:autoSpaceDN w:val="0"/>
              <w:spacing w:after="120" w:line="240" w:lineRule="auto"/>
              <w:rPr>
                <w:rFonts w:asciiTheme="minorHAnsi" w:hAnsiTheme="minorHAnsi"/>
              </w:rPr>
            </w:pPr>
            <w:r w:rsidRPr="00A2277A">
              <w:rPr>
                <w:rFonts w:asciiTheme="minorHAnsi" w:hAnsiTheme="minorHAnsi"/>
              </w:rPr>
              <w:t>Carbon Monoxide</w:t>
            </w:r>
          </w:p>
        </w:tc>
        <w:tc>
          <w:tcPr>
            <w:tcW w:w="1980" w:type="dxa"/>
            <w:tcBorders>
              <w:top w:val="single" w:sz="4" w:space="0" w:color="auto"/>
              <w:left w:val="single" w:sz="4" w:space="0" w:color="auto"/>
              <w:bottom w:val="single" w:sz="4" w:space="0" w:color="auto"/>
              <w:right w:val="single" w:sz="4" w:space="0" w:color="auto"/>
            </w:tcBorders>
          </w:tcPr>
          <w:p w:rsidR="009B2F9B" w:rsidRPr="00A2277A" w:rsidRDefault="009B2F9B" w:rsidP="00B97006">
            <w:pPr>
              <w:autoSpaceDE w:val="0"/>
              <w:autoSpaceDN w:val="0"/>
              <w:spacing w:after="120" w:line="240" w:lineRule="auto"/>
              <w:rPr>
                <w:rFonts w:asciiTheme="minorHAnsi" w:hAnsiTheme="minorHAnsi"/>
              </w:rPr>
            </w:pPr>
            <w:r w:rsidRPr="00A2277A">
              <w:rPr>
                <w:rFonts w:asciiTheme="minorHAnsi" w:hAnsiTheme="minorHAnsi"/>
              </w:rPr>
              <w:t>10.0</w:t>
            </w:r>
          </w:p>
        </w:tc>
        <w:tc>
          <w:tcPr>
            <w:tcW w:w="2391" w:type="dxa"/>
            <w:tcBorders>
              <w:top w:val="single" w:sz="4" w:space="0" w:color="auto"/>
              <w:left w:val="single" w:sz="4" w:space="0" w:color="auto"/>
              <w:bottom w:val="single" w:sz="4" w:space="0" w:color="auto"/>
              <w:right w:val="single" w:sz="4" w:space="0" w:color="auto"/>
            </w:tcBorders>
          </w:tcPr>
          <w:p w:rsidR="009B2F9B" w:rsidRPr="00A2277A" w:rsidRDefault="009B2F9B" w:rsidP="00B97006">
            <w:pPr>
              <w:autoSpaceDE w:val="0"/>
              <w:autoSpaceDN w:val="0"/>
              <w:spacing w:after="120" w:line="240" w:lineRule="auto"/>
              <w:rPr>
                <w:rFonts w:asciiTheme="minorHAnsi" w:hAnsiTheme="minorHAnsi"/>
              </w:rPr>
            </w:pPr>
            <w:r w:rsidRPr="00A2277A">
              <w:rPr>
                <w:rFonts w:asciiTheme="minorHAnsi" w:hAnsiTheme="minorHAnsi"/>
              </w:rPr>
              <w:t>4.5</w:t>
            </w:r>
          </w:p>
        </w:tc>
      </w:tr>
    </w:tbl>
    <w:p w:rsidR="009B2F9B" w:rsidRPr="00A2277A" w:rsidRDefault="009B2F9B" w:rsidP="0081054E">
      <w:pPr>
        <w:pStyle w:val="NoSpacing"/>
        <w:spacing w:before="200" w:after="120"/>
        <w:ind w:left="360"/>
        <w:jc w:val="both"/>
        <w:rPr>
          <w:rFonts w:asciiTheme="minorHAnsi" w:hAnsiTheme="minorHAnsi"/>
        </w:rPr>
      </w:pPr>
      <w:r w:rsidRPr="00A2277A">
        <w:rPr>
          <w:rFonts w:asciiTheme="minorHAnsi" w:hAnsiTheme="minorHAnsi"/>
        </w:rPr>
        <w:lastRenderedPageBreak/>
        <w:t>The final control measure does not include alternate carbon monoxide (CO) standards based upon EPA’s 3/3/10 promulgation of amendments to 40CFR63 Subpart ZZZZ (RICE NESHAP) requirements.  Instead it includes a note to the implementing state that the Subpart ZZZZ CO requirements may be more stringent, depending on the specific circumstances.  EPA included a requirement for applicable engines to use ultra low sulfur diesel fuel (15ppm S) as part of the amendments to the RICE NESHAP.  The control measure will incorporate such a requirement in order to control emissions of sulfur dioxide.</w:t>
      </w:r>
    </w:p>
    <w:p w:rsidR="009B2F9B" w:rsidRPr="00A2277A" w:rsidRDefault="009B2F9B" w:rsidP="0081054E">
      <w:pPr>
        <w:pStyle w:val="NoSpacing"/>
        <w:spacing w:after="120"/>
        <w:ind w:left="360"/>
        <w:jc w:val="both"/>
        <w:rPr>
          <w:rFonts w:asciiTheme="minorHAnsi" w:hAnsiTheme="minorHAnsi"/>
        </w:rPr>
      </w:pPr>
      <w:r w:rsidRPr="00A2277A">
        <w:rPr>
          <w:rFonts w:asciiTheme="minorHAnsi" w:hAnsiTheme="minorHAnsi"/>
        </w:rPr>
        <w:t>A concern has been raised about the validity of requiring the generators to meet the emissions standards “at all times,” including times of startup, shutdown, and malfunction (SSM).  Since the emissions of a generator may not be ideal during SSM due to exhaust temperatures and other variables, it is hard to expect a generator to meet the emissions standards “at all times”.  In order to alleviate this, the language of the model control measure requires generators to meet applicable emissions standards “under full load design conditions or at the load conditions specified by the applicable testing methods.”  The use of this language would ensure that the generator is compliant with the required emissions standards outside of SSM conditions.  Further, the model regulation requires add-on controls to be operating within 10 minutes after startup, or as soon as reasonable per the manufacturer’s guidance for the particular unit.</w:t>
      </w:r>
    </w:p>
    <w:p w:rsidR="009B2F9B" w:rsidRPr="00A2277A" w:rsidRDefault="009B2F9B" w:rsidP="0081054E">
      <w:pPr>
        <w:pStyle w:val="NoSpacing"/>
        <w:ind w:left="360"/>
        <w:jc w:val="both"/>
        <w:rPr>
          <w:rFonts w:asciiTheme="minorHAnsi" w:hAnsiTheme="minorHAnsi"/>
        </w:rPr>
      </w:pPr>
      <w:r w:rsidRPr="00A2277A">
        <w:rPr>
          <w:rFonts w:asciiTheme="minorHAnsi" w:hAnsiTheme="minorHAnsi"/>
        </w:rPr>
        <w:t>The OTC model rule requires that monthly and yearly records of the following data be recorded and maintained on the property where the generator is located:</w:t>
      </w:r>
    </w:p>
    <w:p w:rsidR="009B2F9B" w:rsidRPr="00A2277A" w:rsidRDefault="009B2F9B" w:rsidP="0081054E">
      <w:pPr>
        <w:pStyle w:val="NoSpacing"/>
        <w:numPr>
          <w:ilvl w:val="0"/>
          <w:numId w:val="5"/>
        </w:numPr>
        <w:ind w:left="1260"/>
        <w:jc w:val="both"/>
        <w:rPr>
          <w:rFonts w:asciiTheme="minorHAnsi" w:hAnsiTheme="minorHAnsi"/>
        </w:rPr>
      </w:pPr>
      <w:r w:rsidRPr="00A2277A">
        <w:rPr>
          <w:rFonts w:asciiTheme="minorHAnsi" w:hAnsiTheme="minorHAnsi"/>
        </w:rPr>
        <w:t>Fuel usage, by type;</w:t>
      </w:r>
    </w:p>
    <w:p w:rsidR="009B2F9B" w:rsidRPr="00A2277A" w:rsidRDefault="009B2F9B" w:rsidP="0081054E">
      <w:pPr>
        <w:pStyle w:val="NoSpacing"/>
        <w:numPr>
          <w:ilvl w:val="0"/>
          <w:numId w:val="5"/>
        </w:numPr>
        <w:ind w:left="1260"/>
        <w:jc w:val="both"/>
        <w:rPr>
          <w:rFonts w:asciiTheme="minorHAnsi" w:hAnsiTheme="minorHAnsi"/>
        </w:rPr>
      </w:pPr>
      <w:r w:rsidRPr="00A2277A">
        <w:rPr>
          <w:rFonts w:asciiTheme="minorHAnsi" w:hAnsiTheme="minorHAnsi"/>
        </w:rPr>
        <w:t>Operating hours for each generator, via the use of a non-resettable hour meter; and</w:t>
      </w:r>
    </w:p>
    <w:p w:rsidR="009B2F9B" w:rsidRPr="00A2277A" w:rsidRDefault="009B2F9B" w:rsidP="0081054E">
      <w:pPr>
        <w:pStyle w:val="NoSpacing"/>
        <w:numPr>
          <w:ilvl w:val="0"/>
          <w:numId w:val="5"/>
        </w:numPr>
        <w:ind w:left="1260"/>
        <w:jc w:val="both"/>
        <w:rPr>
          <w:rFonts w:asciiTheme="minorHAnsi" w:hAnsiTheme="minorHAnsi"/>
        </w:rPr>
      </w:pPr>
      <w:r w:rsidRPr="00A2277A">
        <w:rPr>
          <w:rFonts w:asciiTheme="minorHAnsi" w:hAnsiTheme="minorHAnsi"/>
        </w:rPr>
        <w:t>Operating, maintenance, and testing hours.</w:t>
      </w:r>
    </w:p>
    <w:p w:rsidR="009B2F9B" w:rsidRPr="00A2277A" w:rsidRDefault="009B2F9B" w:rsidP="0081054E">
      <w:pPr>
        <w:pStyle w:val="NoSpacing"/>
        <w:spacing w:before="120"/>
        <w:ind w:left="360"/>
        <w:jc w:val="both"/>
        <w:rPr>
          <w:rFonts w:asciiTheme="minorHAnsi" w:hAnsiTheme="minorHAnsi"/>
        </w:rPr>
      </w:pPr>
      <w:r w:rsidRPr="00A2277A">
        <w:rPr>
          <w:rFonts w:asciiTheme="minorHAnsi" w:hAnsiTheme="minorHAnsi"/>
        </w:rPr>
        <w:t>All records should be kept for 5 years.  There is an optional provision at the end of the recordkeeping section that could require non-emergency generators to submit their records to the state on an annual basis.</w:t>
      </w:r>
    </w:p>
    <w:p w:rsidR="009B2F9B" w:rsidRPr="00A2277A" w:rsidRDefault="009B2F9B" w:rsidP="0081054E">
      <w:pPr>
        <w:pStyle w:val="NoSpacing"/>
        <w:spacing w:before="120" w:after="120"/>
        <w:ind w:left="360"/>
        <w:jc w:val="both"/>
        <w:rPr>
          <w:rFonts w:asciiTheme="minorHAnsi" w:hAnsiTheme="minorHAnsi"/>
        </w:rPr>
      </w:pPr>
      <w:r w:rsidRPr="00A2277A">
        <w:rPr>
          <w:rFonts w:asciiTheme="minorHAnsi" w:hAnsiTheme="minorHAnsi"/>
        </w:rPr>
        <w:t>Furthermore, no emergency generator may operate for testing or maintenance purposes on any day when air quality is predicted by the State or designated Agency to be at least “unhealthy for sensitive groups” as defined in the U.S. EPA’s Air Quality Index. Each and every generator must register with the state permitting authority by submitting the following data:</w:t>
      </w:r>
    </w:p>
    <w:p w:rsidR="009B2F9B" w:rsidRPr="00A2277A" w:rsidRDefault="009B2F9B" w:rsidP="0081054E">
      <w:pPr>
        <w:pStyle w:val="NoSpacing"/>
        <w:numPr>
          <w:ilvl w:val="0"/>
          <w:numId w:val="6"/>
        </w:numPr>
        <w:ind w:left="1260"/>
        <w:jc w:val="both"/>
        <w:rPr>
          <w:rFonts w:asciiTheme="minorHAnsi" w:hAnsiTheme="minorHAnsi"/>
        </w:rPr>
      </w:pPr>
      <w:r w:rsidRPr="00A2277A">
        <w:rPr>
          <w:rFonts w:asciiTheme="minorHAnsi" w:hAnsiTheme="minorHAnsi"/>
        </w:rPr>
        <w:t>Generator owner’s name, address, and telephone number;</w:t>
      </w:r>
    </w:p>
    <w:p w:rsidR="009B2F9B" w:rsidRPr="00A2277A" w:rsidRDefault="009B2F9B" w:rsidP="0081054E">
      <w:pPr>
        <w:pStyle w:val="NoSpacing"/>
        <w:numPr>
          <w:ilvl w:val="0"/>
          <w:numId w:val="6"/>
        </w:numPr>
        <w:ind w:left="1260"/>
        <w:jc w:val="both"/>
        <w:rPr>
          <w:rFonts w:asciiTheme="minorHAnsi" w:hAnsiTheme="minorHAnsi"/>
        </w:rPr>
      </w:pPr>
      <w:r w:rsidRPr="00A2277A">
        <w:rPr>
          <w:rFonts w:asciiTheme="minorHAnsi" w:hAnsiTheme="minorHAnsi"/>
        </w:rPr>
        <w:t>The physical address of the generator, along with lat/long coordinates;</w:t>
      </w:r>
    </w:p>
    <w:p w:rsidR="009B2F9B" w:rsidRPr="00A2277A" w:rsidRDefault="009B2F9B" w:rsidP="0081054E">
      <w:pPr>
        <w:pStyle w:val="NoSpacing"/>
        <w:numPr>
          <w:ilvl w:val="0"/>
          <w:numId w:val="6"/>
        </w:numPr>
        <w:ind w:left="1260"/>
        <w:jc w:val="both"/>
        <w:rPr>
          <w:rFonts w:asciiTheme="minorHAnsi" w:hAnsiTheme="minorHAnsi"/>
        </w:rPr>
      </w:pPr>
      <w:r w:rsidRPr="00A2277A">
        <w:rPr>
          <w:rFonts w:asciiTheme="minorHAnsi" w:hAnsiTheme="minorHAnsi"/>
        </w:rPr>
        <w:t>The make, model, and serial number of the generator;</w:t>
      </w:r>
    </w:p>
    <w:p w:rsidR="009B2F9B" w:rsidRPr="00A2277A" w:rsidRDefault="009B2F9B" w:rsidP="0081054E">
      <w:pPr>
        <w:pStyle w:val="NoSpacing"/>
        <w:numPr>
          <w:ilvl w:val="0"/>
          <w:numId w:val="6"/>
        </w:numPr>
        <w:ind w:left="1260"/>
        <w:jc w:val="both"/>
        <w:rPr>
          <w:rFonts w:asciiTheme="minorHAnsi" w:hAnsiTheme="minorHAnsi"/>
        </w:rPr>
      </w:pPr>
      <w:r w:rsidRPr="00A2277A">
        <w:rPr>
          <w:rFonts w:asciiTheme="minorHAnsi" w:hAnsiTheme="minorHAnsi"/>
        </w:rPr>
        <w:t>The manufacture date and installation date of the generator;</w:t>
      </w:r>
    </w:p>
    <w:p w:rsidR="009B2F9B" w:rsidRPr="00A2277A" w:rsidRDefault="009B2F9B" w:rsidP="0081054E">
      <w:pPr>
        <w:pStyle w:val="NoSpacing"/>
        <w:numPr>
          <w:ilvl w:val="0"/>
          <w:numId w:val="6"/>
        </w:numPr>
        <w:ind w:left="1260"/>
        <w:jc w:val="both"/>
        <w:rPr>
          <w:rFonts w:asciiTheme="minorHAnsi" w:hAnsiTheme="minorHAnsi"/>
        </w:rPr>
      </w:pPr>
      <w:r w:rsidRPr="00A2277A">
        <w:rPr>
          <w:rFonts w:asciiTheme="minorHAnsi" w:hAnsiTheme="minorHAnsi"/>
        </w:rPr>
        <w:t>The standby power rating and prime power rating (if known); and</w:t>
      </w:r>
    </w:p>
    <w:p w:rsidR="009B2F9B" w:rsidRPr="00A2277A" w:rsidRDefault="009B2F9B" w:rsidP="0081054E">
      <w:pPr>
        <w:pStyle w:val="NoSpacing"/>
        <w:numPr>
          <w:ilvl w:val="0"/>
          <w:numId w:val="6"/>
        </w:numPr>
        <w:ind w:left="1260"/>
        <w:jc w:val="both"/>
        <w:rPr>
          <w:rFonts w:asciiTheme="minorHAnsi" w:hAnsiTheme="minorHAnsi"/>
        </w:rPr>
      </w:pPr>
      <w:r w:rsidRPr="00A2277A">
        <w:rPr>
          <w:rFonts w:asciiTheme="minorHAnsi" w:hAnsiTheme="minorHAnsi"/>
        </w:rPr>
        <w:t>A declaration of the use of the generator: emergency or non-emergency.</w:t>
      </w:r>
    </w:p>
    <w:p w:rsidR="009B2F9B" w:rsidRPr="00A2277A" w:rsidRDefault="0025362E" w:rsidP="0025362E">
      <w:pPr>
        <w:pStyle w:val="Heading3"/>
      </w:pPr>
      <w:bookmarkStart w:id="242" w:name="_Toc461020978"/>
      <w:bookmarkStart w:id="243" w:name="_Toc461025643"/>
      <w:bookmarkStart w:id="244" w:name="_Toc461025852"/>
      <w:bookmarkStart w:id="245" w:name="_Toc461027122"/>
      <w:r>
        <w:t>3</w:t>
      </w:r>
      <w:r w:rsidR="009B2F9B">
        <w:t>.1.3</w:t>
      </w:r>
      <w:r w:rsidR="009B2F9B">
        <w:tab/>
      </w:r>
      <w:r>
        <w:tab/>
      </w:r>
      <w:r w:rsidR="009B2F9B" w:rsidRPr="00A2277A">
        <w:t>Emissions Reduction Benefit</w:t>
      </w:r>
      <w:bookmarkEnd w:id="242"/>
      <w:bookmarkEnd w:id="243"/>
      <w:bookmarkEnd w:id="244"/>
      <w:bookmarkEnd w:id="245"/>
    </w:p>
    <w:p w:rsidR="009B2F9B" w:rsidRPr="00A2277A" w:rsidRDefault="009B2F9B" w:rsidP="0081054E">
      <w:pPr>
        <w:pStyle w:val="NoSpacing"/>
        <w:spacing w:after="120"/>
        <w:ind w:left="360"/>
        <w:jc w:val="both"/>
        <w:rPr>
          <w:rFonts w:asciiTheme="minorHAnsi" w:hAnsiTheme="minorHAnsi"/>
        </w:rPr>
      </w:pPr>
      <w:r w:rsidRPr="00A2277A">
        <w:rPr>
          <w:rFonts w:asciiTheme="minorHAnsi" w:hAnsiTheme="minorHAnsi"/>
        </w:rPr>
        <w:t xml:space="preserve">The OTC model rule, if adopted, would require new, emergency generators to meet emissions standards set by EPA, which would ensure that all new installations would at least be meeting a minimum level of control.  For existing, non-emergency generators, each generator would </w:t>
      </w:r>
      <w:r w:rsidR="0060782B">
        <w:rPr>
          <w:noProof/>
        </w:rPr>
        <mc:AlternateContent>
          <mc:Choice Requires="wps">
            <w:drawing>
              <wp:anchor distT="0" distB="0" distL="114300" distR="114300" simplePos="0" relativeHeight="251735040" behindDoc="0" locked="1" layoutInCell="1" allowOverlap="0" wp14:anchorId="37F0C09B" wp14:editId="2A19CA42">
                <wp:simplePos x="0" y="0"/>
                <wp:positionH relativeFrom="margin">
                  <wp:posOffset>2857500</wp:posOffset>
                </wp:positionH>
                <wp:positionV relativeFrom="bottomMargin">
                  <wp:posOffset>217805</wp:posOffset>
                </wp:positionV>
                <wp:extent cx="914400" cy="237490"/>
                <wp:effectExtent l="0" t="0" r="0" b="0"/>
                <wp:wrapNone/>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237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782B" w:rsidRDefault="0060782B" w:rsidP="0060782B">
                            <w:pPr>
                              <w:ind w:right="60"/>
                              <w:rPr>
                                <w:rFonts w:asciiTheme="minorHAnsi" w:hAnsiTheme="minorHAnsi"/>
                                <w:sz w:val="20"/>
                                <w:szCs w:val="20"/>
                              </w:rPr>
                            </w:pPr>
                            <w:hyperlink w:anchor="TOC" w:history="1">
                              <w:r>
                                <w:rPr>
                                  <w:rStyle w:val="Hyperlink"/>
                                  <w:sz w:val="20"/>
                                  <w:szCs w:val="20"/>
                                </w:rPr>
                                <w:t>Back to TOC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0C09B" id="Text Box 205" o:spid="_x0000_s1054" type="#_x0000_t202" style="position:absolute;left:0;text-align:left;margin-left:225pt;margin-top:17.15pt;width:1in;height:18.7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5OqmQIAAK4FAAAOAAAAZHJzL2Uyb0RvYy54bWysVFFP2zAQfp+0/2D5fSQtBUbUFHUgpkkV&#10;oMHEs+vYrYXj82y3SffrOTtJKYwXpr0kZ993d76772560daabIXzCkxJR0c5JcJwqJRZlfTXw/WX&#10;r5T4wEzFNBhR0p3w9GL2+dO0sYUYwxp0JRxBJ8YXjS3pOgRbZJnna1EzfwRWGFRKcDULeHSrrHKs&#10;Qe+1zsZ5fpo14CrrgAvv8faqU9JZ8i+l4OFWSi8C0SXFt4X0dem7jN9sNmXFyjG7Vrx/BvuHV9RM&#10;GQy6d3XFAiMbp/5yVSvuwIMMRxzqDKRUXKQcMJtR/iab+zWzIuWCxfF2Xyb//9zym+2dI6oq6Tg/&#10;ocSwGpv0INpAvkFL4h1WqLG+QOC9RWhoUYGdTtl6uwD+5BGSHWA6A4/oWJFWujr+MVeChtiE3b7w&#10;MQ7Hy/PRZJKjhqNqfHw2OU+NyV6MrfPhu4CaRKGkDvuaHsC2Cx9ieFYMkBjLg1bVtdI6HSKXxKV2&#10;ZMuQBTqMYk5o8QqlDWlKenp8kifHBqJ5h9MmuhGJTX24mG2XYJLCTouI0eankFjNlOc7sRnnwuzj&#10;J3RESQz1EcMe//Kqjxh3eaBFigwm7I1rZcB1fX1dsuppKJns8H2/fZd3LEFol22i0fF4YMwSqh0S&#10;xkE3dN7ya4XdWzAf7pjDKcOG4+YIt/iRGrD60EuUrMH9ee8+4pH8qKWkwaktqf+9YU5Qon8YHItE&#10;JBzzdJicnI0xhjvULA81ZlNfAlJihDvK8iRGfNCDKB3Uj7hg5jEqqpjhGLukYRAvQ7dLcEFxMZ8n&#10;EA62ZWFh7i0f5iRy86F9ZM72BA7I/BsY5psVb3jcYWODDMw3AaRKJI+F7qraNwCXQmJyv8Di1jk8&#10;J9TLmp09AwAA//8DAFBLAwQUAAYACAAAACEA2bGjP+AAAAAJAQAADwAAAGRycy9kb3ducmV2Lnht&#10;bEyPwU7DMBBE70j8g7VIXCrqhKYUQjYVQlRqDz2Q9tKbGy9JRLyObLcNf485lePsjGbfFMvR9OJM&#10;zneWEdJpAoK4trrjBmG/Wz08g/BBsVa9ZUL4IQ/L8vamULm2F/6kcxUaEUvY5wqhDWHIpfR1S0b5&#10;qR2Io/dlnVEhStdI7dQllptePibJkzSq4/ihVQO9t1R/VyeDsPWH9eTg1qtJ5bXcEG0/NmlAvL8b&#10;315BBBrDNQx/+BEdysh0tCfWXvQI2TyJWwLCLJuBiIH5SxYPR4RFugBZFvL/gvIXAAD//wMAUEsB&#10;Ai0AFAAGAAgAAAAhALaDOJL+AAAA4QEAABMAAAAAAAAAAAAAAAAAAAAAAFtDb250ZW50X1R5cGVz&#10;XS54bWxQSwECLQAUAAYACAAAACEAOP0h/9YAAACUAQAACwAAAAAAAAAAAAAAAAAvAQAAX3JlbHMv&#10;LnJlbHNQSwECLQAUAAYACAAAACEAOqOTqpkCAACuBQAADgAAAAAAAAAAAAAAAAAuAgAAZHJzL2Uy&#10;b0RvYy54bWxQSwECLQAUAAYACAAAACEA2bGjP+AAAAAJAQAADwAAAAAAAAAAAAAAAADzBAAAZHJz&#10;L2Rvd25yZXYueG1sUEsFBgAAAAAEAAQA8wAAAAAGAAAAAA==&#10;" o:allowoverlap="f" fillcolor="white [3201]" stroked="f" strokeweight=".5pt">
                <v:path arrowok="t"/>
                <v:textbox>
                  <w:txbxContent>
                    <w:p w:rsidR="0060782B" w:rsidRDefault="0060782B" w:rsidP="0060782B">
                      <w:pPr>
                        <w:ind w:right="60"/>
                        <w:rPr>
                          <w:rFonts w:asciiTheme="minorHAnsi" w:hAnsiTheme="minorHAnsi"/>
                          <w:sz w:val="20"/>
                          <w:szCs w:val="20"/>
                        </w:rPr>
                      </w:pPr>
                      <w:hyperlink w:anchor="TOC" w:history="1">
                        <w:r>
                          <w:rPr>
                            <w:rStyle w:val="Hyperlink"/>
                            <w:sz w:val="20"/>
                            <w:szCs w:val="20"/>
                          </w:rPr>
                          <w:t>Back to TOC</w:t>
                        </w:r>
                      </w:hyperlink>
                    </w:p>
                  </w:txbxContent>
                </v:textbox>
                <w10:wrap anchorx="margin" anchory="margin"/>
                <w10:anchorlock/>
              </v:shape>
            </w:pict>
          </mc:Fallback>
        </mc:AlternateContent>
      </w:r>
      <w:r w:rsidRPr="00A2277A">
        <w:rPr>
          <w:rFonts w:asciiTheme="minorHAnsi" w:hAnsiTheme="minorHAnsi"/>
        </w:rPr>
        <w:t xml:space="preserve">be required to make an approximate 90% reduction in its </w:t>
      </w:r>
      <w:r w:rsidRPr="00A2277A">
        <w:rPr>
          <w:rFonts w:asciiTheme="minorHAnsi" w:hAnsiTheme="minorHAnsi"/>
          <w:snapToGrid w:val="0"/>
        </w:rPr>
        <w:t>NO</w:t>
      </w:r>
      <w:r w:rsidRPr="00A2277A">
        <w:rPr>
          <w:rFonts w:asciiTheme="minorHAnsi" w:hAnsiTheme="minorHAnsi"/>
          <w:snapToGrid w:val="0"/>
          <w:vertAlign w:val="subscript"/>
        </w:rPr>
        <w:t>x</w:t>
      </w:r>
      <w:r w:rsidRPr="00A2277A">
        <w:rPr>
          <w:rFonts w:asciiTheme="minorHAnsi" w:hAnsiTheme="minorHAnsi"/>
        </w:rPr>
        <w:t xml:space="preserve"> emissions.  Each new, non-</w:t>
      </w:r>
      <w:r w:rsidRPr="00A2277A">
        <w:rPr>
          <w:rFonts w:asciiTheme="minorHAnsi" w:hAnsiTheme="minorHAnsi"/>
        </w:rPr>
        <w:lastRenderedPageBreak/>
        <w:t xml:space="preserve">emergency generator would be required to make an approximate 90% reduction in their </w:t>
      </w:r>
      <w:r w:rsidRPr="00A2277A">
        <w:rPr>
          <w:rFonts w:asciiTheme="minorHAnsi" w:hAnsiTheme="minorHAnsi"/>
          <w:snapToGrid w:val="0"/>
        </w:rPr>
        <w:t>NO</w:t>
      </w:r>
      <w:r w:rsidRPr="00A2277A">
        <w:rPr>
          <w:rFonts w:asciiTheme="minorHAnsi" w:hAnsiTheme="minorHAnsi"/>
          <w:snapToGrid w:val="0"/>
          <w:vertAlign w:val="subscript"/>
        </w:rPr>
        <w:t>x</w:t>
      </w:r>
      <w:r w:rsidRPr="00A2277A">
        <w:rPr>
          <w:rFonts w:asciiTheme="minorHAnsi" w:hAnsiTheme="minorHAnsi"/>
        </w:rPr>
        <w:t xml:space="preserve"> emissions beyond the EPA standards for manufacturers of emergency generators.  As for estimating emission reductions from non-emergency generators, the number of units in a state would have to be known in order to estimate total reductions from the amount of </w:t>
      </w:r>
      <w:r w:rsidRPr="00A2277A">
        <w:rPr>
          <w:rFonts w:asciiTheme="minorHAnsi" w:hAnsiTheme="minorHAnsi"/>
          <w:snapToGrid w:val="0"/>
        </w:rPr>
        <w:t>NO</w:t>
      </w:r>
      <w:r w:rsidRPr="00A2277A">
        <w:rPr>
          <w:rFonts w:asciiTheme="minorHAnsi" w:hAnsiTheme="minorHAnsi"/>
          <w:snapToGrid w:val="0"/>
          <w:vertAlign w:val="subscript"/>
        </w:rPr>
        <w:t>x</w:t>
      </w:r>
      <w:r w:rsidRPr="00A2277A">
        <w:rPr>
          <w:rFonts w:asciiTheme="minorHAnsi" w:hAnsiTheme="minorHAnsi"/>
        </w:rPr>
        <w:t xml:space="preserve"> emissions reduced per generator.</w:t>
      </w:r>
    </w:p>
    <w:p w:rsidR="009B2F9B" w:rsidRPr="00A2277A" w:rsidRDefault="009B2F9B" w:rsidP="0081054E">
      <w:pPr>
        <w:pStyle w:val="NoSpacing"/>
        <w:spacing w:after="120"/>
        <w:ind w:left="360"/>
        <w:jc w:val="both"/>
        <w:rPr>
          <w:rFonts w:asciiTheme="minorHAnsi" w:hAnsiTheme="minorHAnsi"/>
        </w:rPr>
      </w:pPr>
      <w:r w:rsidRPr="00A2277A">
        <w:rPr>
          <w:rFonts w:asciiTheme="minorHAnsi" w:hAnsiTheme="minorHAnsi"/>
        </w:rPr>
        <w:t xml:space="preserve">NESCAUM’s report titled “Stationary Diesels in the Northeast” lists the estimated number of diesel engines in the NESCAUM region by number and capacity.  The list from the NESCAUM report is shown below in </w:t>
      </w:r>
      <w:r w:rsidR="006633FD">
        <w:rPr>
          <w:rFonts w:asciiTheme="minorHAnsi" w:hAnsiTheme="minorHAnsi"/>
        </w:rPr>
        <w:t>Table 3-4</w:t>
      </w:r>
      <w:r w:rsidRPr="00A2277A">
        <w:rPr>
          <w:rFonts w:asciiTheme="minorHAnsi" w:hAnsiTheme="minorHAnsi"/>
        </w:rPr>
        <w:t>:</w:t>
      </w:r>
    </w:p>
    <w:p w:rsidR="0027205B" w:rsidRPr="0027205B" w:rsidRDefault="0027205B" w:rsidP="0027205B">
      <w:pPr>
        <w:pStyle w:val="Caption"/>
        <w:keepNext/>
        <w:spacing w:before="120" w:after="120"/>
        <w:rPr>
          <w:rFonts w:asciiTheme="minorHAnsi" w:hAnsiTheme="minorHAnsi"/>
          <w:sz w:val="22"/>
          <w:szCs w:val="22"/>
        </w:rPr>
      </w:pPr>
      <w:bookmarkStart w:id="246" w:name="_Toc461106805"/>
      <w:r w:rsidRPr="0027205B">
        <w:rPr>
          <w:rFonts w:asciiTheme="minorHAnsi" w:hAnsiTheme="minorHAnsi"/>
          <w:sz w:val="22"/>
          <w:szCs w:val="22"/>
        </w:rPr>
        <w:t>Table 3-4</w:t>
      </w:r>
      <w:r w:rsidR="00FD75BF">
        <w:rPr>
          <w:rFonts w:asciiTheme="minorHAnsi" w:hAnsiTheme="minorHAnsi"/>
          <w:sz w:val="22"/>
          <w:szCs w:val="22"/>
        </w:rPr>
        <w:tab/>
      </w:r>
      <w:r w:rsidR="00E041E3" w:rsidRPr="00E041E3">
        <w:rPr>
          <w:rFonts w:asciiTheme="minorHAnsi" w:hAnsiTheme="minorHAnsi"/>
          <w:sz w:val="22"/>
          <w:szCs w:val="22"/>
        </w:rPr>
        <w:t>Stationary Diesels in the Northeast region by number and capacity</w:t>
      </w:r>
      <w:bookmarkEnd w:id="246"/>
    </w:p>
    <w:tbl>
      <w:tblPr>
        <w:tblStyle w:val="TableGrid"/>
        <w:tblW w:w="9777" w:type="dxa"/>
        <w:jc w:val="center"/>
        <w:tblLayout w:type="fixed"/>
        <w:tblLook w:val="04A0" w:firstRow="1" w:lastRow="0" w:firstColumn="1" w:lastColumn="0" w:noHBand="0" w:noVBand="1"/>
      </w:tblPr>
      <w:tblGrid>
        <w:gridCol w:w="1255"/>
        <w:gridCol w:w="1270"/>
        <w:gridCol w:w="621"/>
        <w:gridCol w:w="907"/>
        <w:gridCol w:w="711"/>
        <w:gridCol w:w="236"/>
        <w:gridCol w:w="1422"/>
        <w:gridCol w:w="1116"/>
        <w:gridCol w:w="621"/>
        <w:gridCol w:w="907"/>
        <w:gridCol w:w="711"/>
      </w:tblGrid>
      <w:tr w:rsidR="009B2F9B" w:rsidRPr="00A2277A" w:rsidTr="00A475FE">
        <w:trPr>
          <w:jc w:val="center"/>
        </w:trPr>
        <w:tc>
          <w:tcPr>
            <w:tcW w:w="1255" w:type="dxa"/>
          </w:tcPr>
          <w:p w:rsidR="009B2F9B" w:rsidRPr="00A2277A" w:rsidRDefault="009B2F9B" w:rsidP="0081054E">
            <w:pPr>
              <w:pStyle w:val="NoSpacing"/>
              <w:rPr>
                <w:rFonts w:asciiTheme="minorHAnsi" w:hAnsiTheme="minorHAnsi"/>
                <w:b/>
              </w:rPr>
            </w:pPr>
            <w:r w:rsidRPr="00A2277A">
              <w:rPr>
                <w:rFonts w:asciiTheme="minorHAnsi" w:hAnsiTheme="minorHAnsi"/>
                <w:b/>
              </w:rPr>
              <w:t>Number Totals</w:t>
            </w:r>
          </w:p>
        </w:tc>
        <w:tc>
          <w:tcPr>
            <w:tcW w:w="1270" w:type="dxa"/>
          </w:tcPr>
          <w:p w:rsidR="009B2F9B" w:rsidRPr="00A2277A" w:rsidRDefault="009B2F9B" w:rsidP="0081054E">
            <w:pPr>
              <w:pStyle w:val="NoSpacing"/>
              <w:rPr>
                <w:rFonts w:asciiTheme="minorHAnsi" w:hAnsiTheme="minorHAnsi"/>
                <w:b/>
              </w:rPr>
            </w:pPr>
            <w:r w:rsidRPr="00A2277A">
              <w:rPr>
                <w:rFonts w:asciiTheme="minorHAnsi" w:hAnsiTheme="minorHAnsi"/>
                <w:b/>
              </w:rPr>
              <w:t>Emergency</w:t>
            </w:r>
          </w:p>
        </w:tc>
        <w:tc>
          <w:tcPr>
            <w:tcW w:w="621" w:type="dxa"/>
          </w:tcPr>
          <w:p w:rsidR="009B2F9B" w:rsidRPr="00A2277A" w:rsidRDefault="009B2F9B" w:rsidP="0081054E">
            <w:pPr>
              <w:pStyle w:val="NoSpacing"/>
              <w:rPr>
                <w:rFonts w:asciiTheme="minorHAnsi" w:hAnsiTheme="minorHAnsi"/>
                <w:b/>
              </w:rPr>
            </w:pPr>
            <w:r w:rsidRPr="00A2277A">
              <w:rPr>
                <w:rFonts w:asciiTheme="minorHAnsi" w:hAnsiTheme="minorHAnsi"/>
                <w:b/>
              </w:rPr>
              <w:t>Peak</w:t>
            </w:r>
          </w:p>
        </w:tc>
        <w:tc>
          <w:tcPr>
            <w:tcW w:w="907" w:type="dxa"/>
          </w:tcPr>
          <w:p w:rsidR="009B2F9B" w:rsidRPr="00A2277A" w:rsidRDefault="009B2F9B" w:rsidP="0081054E">
            <w:pPr>
              <w:pStyle w:val="NoSpacing"/>
              <w:rPr>
                <w:rFonts w:asciiTheme="minorHAnsi" w:hAnsiTheme="minorHAnsi"/>
                <w:b/>
              </w:rPr>
            </w:pPr>
            <w:r w:rsidRPr="00A2277A">
              <w:rPr>
                <w:rFonts w:asciiTheme="minorHAnsi" w:hAnsiTheme="minorHAnsi"/>
                <w:b/>
              </w:rPr>
              <w:t>Baseload</w:t>
            </w:r>
          </w:p>
        </w:tc>
        <w:tc>
          <w:tcPr>
            <w:tcW w:w="711" w:type="dxa"/>
          </w:tcPr>
          <w:p w:rsidR="009B2F9B" w:rsidRPr="00A2277A" w:rsidRDefault="009B2F9B" w:rsidP="0081054E">
            <w:pPr>
              <w:pStyle w:val="NoSpacing"/>
              <w:rPr>
                <w:rFonts w:asciiTheme="minorHAnsi" w:hAnsiTheme="minorHAnsi"/>
                <w:b/>
              </w:rPr>
            </w:pPr>
            <w:r w:rsidRPr="00A2277A">
              <w:rPr>
                <w:rFonts w:asciiTheme="minorHAnsi" w:hAnsiTheme="minorHAnsi"/>
                <w:b/>
              </w:rPr>
              <w:t>Total</w:t>
            </w:r>
          </w:p>
        </w:tc>
        <w:tc>
          <w:tcPr>
            <w:tcW w:w="236" w:type="dxa"/>
            <w:shd w:val="clear" w:color="auto" w:fill="000000" w:themeFill="text1"/>
          </w:tcPr>
          <w:p w:rsidR="009B2F9B" w:rsidRPr="00A2277A" w:rsidRDefault="009B2F9B" w:rsidP="0081054E">
            <w:pPr>
              <w:pStyle w:val="NoSpacing"/>
              <w:rPr>
                <w:rFonts w:asciiTheme="minorHAnsi" w:hAnsiTheme="minorHAnsi"/>
                <w:b/>
              </w:rPr>
            </w:pPr>
          </w:p>
        </w:tc>
        <w:tc>
          <w:tcPr>
            <w:tcW w:w="1422" w:type="dxa"/>
          </w:tcPr>
          <w:p w:rsidR="009B2F9B" w:rsidRPr="00A2277A" w:rsidRDefault="009B2F9B" w:rsidP="0081054E">
            <w:pPr>
              <w:pStyle w:val="NoSpacing"/>
              <w:rPr>
                <w:rFonts w:asciiTheme="minorHAnsi" w:hAnsiTheme="minorHAnsi"/>
                <w:b/>
              </w:rPr>
            </w:pPr>
            <w:r w:rsidRPr="00A2277A">
              <w:rPr>
                <w:rFonts w:asciiTheme="minorHAnsi" w:hAnsiTheme="minorHAnsi"/>
                <w:b/>
              </w:rPr>
              <w:t>Capacity Totals (MW)</w:t>
            </w:r>
          </w:p>
        </w:tc>
        <w:tc>
          <w:tcPr>
            <w:tcW w:w="1116" w:type="dxa"/>
          </w:tcPr>
          <w:p w:rsidR="009B2F9B" w:rsidRPr="00A2277A" w:rsidRDefault="009B2F9B" w:rsidP="0081054E">
            <w:pPr>
              <w:pStyle w:val="NoSpacing"/>
              <w:rPr>
                <w:rFonts w:asciiTheme="minorHAnsi" w:hAnsiTheme="minorHAnsi"/>
                <w:b/>
              </w:rPr>
            </w:pPr>
            <w:r w:rsidRPr="00A2277A">
              <w:rPr>
                <w:rFonts w:asciiTheme="minorHAnsi" w:hAnsiTheme="minorHAnsi"/>
                <w:b/>
              </w:rPr>
              <w:t>Emergency</w:t>
            </w:r>
          </w:p>
        </w:tc>
        <w:tc>
          <w:tcPr>
            <w:tcW w:w="621" w:type="dxa"/>
          </w:tcPr>
          <w:p w:rsidR="009B2F9B" w:rsidRPr="00A2277A" w:rsidRDefault="009B2F9B" w:rsidP="0081054E">
            <w:pPr>
              <w:pStyle w:val="NoSpacing"/>
              <w:rPr>
                <w:rFonts w:asciiTheme="minorHAnsi" w:hAnsiTheme="minorHAnsi"/>
                <w:b/>
              </w:rPr>
            </w:pPr>
            <w:r w:rsidRPr="00A2277A">
              <w:rPr>
                <w:rFonts w:asciiTheme="minorHAnsi" w:hAnsiTheme="minorHAnsi"/>
                <w:b/>
              </w:rPr>
              <w:t>Peak</w:t>
            </w:r>
          </w:p>
        </w:tc>
        <w:tc>
          <w:tcPr>
            <w:tcW w:w="907" w:type="dxa"/>
          </w:tcPr>
          <w:p w:rsidR="009B2F9B" w:rsidRPr="00A2277A" w:rsidRDefault="009B2F9B" w:rsidP="0081054E">
            <w:pPr>
              <w:pStyle w:val="NoSpacing"/>
              <w:rPr>
                <w:rFonts w:asciiTheme="minorHAnsi" w:hAnsiTheme="minorHAnsi"/>
                <w:b/>
              </w:rPr>
            </w:pPr>
            <w:r w:rsidRPr="00A2277A">
              <w:rPr>
                <w:rFonts w:asciiTheme="minorHAnsi" w:hAnsiTheme="minorHAnsi"/>
                <w:b/>
              </w:rPr>
              <w:t>Baseload</w:t>
            </w:r>
          </w:p>
        </w:tc>
        <w:tc>
          <w:tcPr>
            <w:tcW w:w="711" w:type="dxa"/>
          </w:tcPr>
          <w:p w:rsidR="009B2F9B" w:rsidRPr="00A2277A" w:rsidRDefault="009B2F9B" w:rsidP="0081054E">
            <w:pPr>
              <w:pStyle w:val="NoSpacing"/>
              <w:rPr>
                <w:rFonts w:asciiTheme="minorHAnsi" w:hAnsiTheme="minorHAnsi"/>
                <w:b/>
              </w:rPr>
            </w:pPr>
            <w:r w:rsidRPr="00A2277A">
              <w:rPr>
                <w:rFonts w:asciiTheme="minorHAnsi" w:hAnsiTheme="minorHAnsi"/>
                <w:b/>
              </w:rPr>
              <w:t>Total</w:t>
            </w:r>
          </w:p>
        </w:tc>
      </w:tr>
      <w:tr w:rsidR="009B2F9B" w:rsidRPr="00A2277A" w:rsidTr="00A475FE">
        <w:trPr>
          <w:trHeight w:val="144"/>
          <w:jc w:val="center"/>
        </w:trPr>
        <w:tc>
          <w:tcPr>
            <w:tcW w:w="1255" w:type="dxa"/>
            <w:vAlign w:val="bottom"/>
          </w:tcPr>
          <w:p w:rsidR="009B2F9B" w:rsidRPr="00A2277A" w:rsidRDefault="009B2F9B" w:rsidP="0081054E">
            <w:pPr>
              <w:pStyle w:val="NoSpacing"/>
              <w:rPr>
                <w:rFonts w:asciiTheme="minorHAnsi" w:hAnsiTheme="minorHAnsi"/>
                <w:b/>
              </w:rPr>
            </w:pPr>
            <w:r w:rsidRPr="00A2277A">
              <w:rPr>
                <w:rFonts w:asciiTheme="minorHAnsi" w:hAnsiTheme="minorHAnsi"/>
                <w:b/>
                <w:color w:val="000000"/>
              </w:rPr>
              <w:t>25-50 kW</w:t>
            </w:r>
          </w:p>
        </w:tc>
        <w:tc>
          <w:tcPr>
            <w:tcW w:w="1270" w:type="dxa"/>
            <w:vAlign w:val="bottom"/>
          </w:tcPr>
          <w:p w:rsidR="009B2F9B" w:rsidRPr="00A2277A" w:rsidRDefault="009B2F9B" w:rsidP="0081054E">
            <w:pPr>
              <w:pStyle w:val="NoSpacing"/>
              <w:rPr>
                <w:rFonts w:asciiTheme="minorHAnsi" w:hAnsiTheme="minorHAnsi"/>
              </w:rPr>
            </w:pPr>
            <w:r w:rsidRPr="00A2277A">
              <w:rPr>
                <w:rFonts w:asciiTheme="minorHAnsi" w:hAnsiTheme="minorHAnsi"/>
                <w:color w:val="000000"/>
              </w:rPr>
              <w:t>1,768</w:t>
            </w:r>
          </w:p>
        </w:tc>
        <w:tc>
          <w:tcPr>
            <w:tcW w:w="621" w:type="dxa"/>
            <w:vAlign w:val="bottom"/>
          </w:tcPr>
          <w:p w:rsidR="009B2F9B" w:rsidRPr="00A2277A" w:rsidRDefault="009B2F9B" w:rsidP="0081054E">
            <w:pPr>
              <w:pStyle w:val="NoSpacing"/>
              <w:rPr>
                <w:rFonts w:asciiTheme="minorHAnsi" w:hAnsiTheme="minorHAnsi"/>
              </w:rPr>
            </w:pPr>
            <w:r w:rsidRPr="00A2277A">
              <w:rPr>
                <w:rFonts w:asciiTheme="minorHAnsi" w:hAnsiTheme="minorHAnsi"/>
                <w:color w:val="000000"/>
              </w:rPr>
              <w:t>0</w:t>
            </w:r>
          </w:p>
        </w:tc>
        <w:tc>
          <w:tcPr>
            <w:tcW w:w="907" w:type="dxa"/>
            <w:vAlign w:val="bottom"/>
          </w:tcPr>
          <w:p w:rsidR="009B2F9B" w:rsidRPr="00A2277A" w:rsidRDefault="009B2F9B" w:rsidP="0081054E">
            <w:pPr>
              <w:pStyle w:val="NoSpacing"/>
              <w:rPr>
                <w:rFonts w:asciiTheme="minorHAnsi" w:hAnsiTheme="minorHAnsi"/>
              </w:rPr>
            </w:pPr>
            <w:r w:rsidRPr="00A2277A">
              <w:rPr>
                <w:rFonts w:asciiTheme="minorHAnsi" w:hAnsiTheme="minorHAnsi"/>
                <w:color w:val="000000"/>
              </w:rPr>
              <w:t>0</w:t>
            </w:r>
          </w:p>
        </w:tc>
        <w:tc>
          <w:tcPr>
            <w:tcW w:w="711" w:type="dxa"/>
            <w:vAlign w:val="bottom"/>
          </w:tcPr>
          <w:p w:rsidR="009B2F9B" w:rsidRPr="00A2277A" w:rsidRDefault="009B2F9B" w:rsidP="0081054E">
            <w:pPr>
              <w:pStyle w:val="NoSpacing"/>
              <w:rPr>
                <w:rFonts w:asciiTheme="minorHAnsi" w:hAnsiTheme="minorHAnsi"/>
                <w:b/>
              </w:rPr>
            </w:pPr>
            <w:r w:rsidRPr="00A2277A">
              <w:rPr>
                <w:rFonts w:asciiTheme="minorHAnsi" w:hAnsiTheme="minorHAnsi"/>
                <w:b/>
                <w:color w:val="000000"/>
              </w:rPr>
              <w:t>1,768</w:t>
            </w:r>
          </w:p>
        </w:tc>
        <w:tc>
          <w:tcPr>
            <w:tcW w:w="236" w:type="dxa"/>
            <w:shd w:val="clear" w:color="auto" w:fill="000000" w:themeFill="text1"/>
          </w:tcPr>
          <w:p w:rsidR="009B2F9B" w:rsidRPr="00A2277A" w:rsidRDefault="009B2F9B" w:rsidP="0081054E">
            <w:pPr>
              <w:pStyle w:val="NoSpacing"/>
              <w:rPr>
                <w:rFonts w:asciiTheme="minorHAnsi" w:hAnsiTheme="minorHAnsi"/>
              </w:rPr>
            </w:pPr>
          </w:p>
        </w:tc>
        <w:tc>
          <w:tcPr>
            <w:tcW w:w="1422" w:type="dxa"/>
            <w:vAlign w:val="bottom"/>
          </w:tcPr>
          <w:p w:rsidR="009B2F9B" w:rsidRPr="00A2277A" w:rsidRDefault="009B2F9B" w:rsidP="0081054E">
            <w:pPr>
              <w:pStyle w:val="NoSpacing"/>
              <w:rPr>
                <w:rFonts w:asciiTheme="minorHAnsi" w:hAnsiTheme="minorHAnsi"/>
                <w:b/>
              </w:rPr>
            </w:pPr>
            <w:r w:rsidRPr="00A2277A">
              <w:rPr>
                <w:rFonts w:asciiTheme="minorHAnsi" w:hAnsiTheme="minorHAnsi"/>
                <w:b/>
                <w:color w:val="000000"/>
              </w:rPr>
              <w:t>25-50 kW</w:t>
            </w:r>
          </w:p>
        </w:tc>
        <w:tc>
          <w:tcPr>
            <w:tcW w:w="1116" w:type="dxa"/>
            <w:vAlign w:val="bottom"/>
          </w:tcPr>
          <w:p w:rsidR="009B2F9B" w:rsidRPr="00A2277A" w:rsidRDefault="009B2F9B" w:rsidP="0081054E">
            <w:pPr>
              <w:pStyle w:val="NoSpacing"/>
              <w:rPr>
                <w:rFonts w:asciiTheme="minorHAnsi" w:hAnsiTheme="minorHAnsi"/>
              </w:rPr>
            </w:pPr>
            <w:r w:rsidRPr="00A2277A">
              <w:rPr>
                <w:rFonts w:asciiTheme="minorHAnsi" w:hAnsiTheme="minorHAnsi"/>
                <w:color w:val="000000"/>
              </w:rPr>
              <w:t>59</w:t>
            </w:r>
          </w:p>
        </w:tc>
        <w:tc>
          <w:tcPr>
            <w:tcW w:w="621" w:type="dxa"/>
            <w:vAlign w:val="bottom"/>
          </w:tcPr>
          <w:p w:rsidR="009B2F9B" w:rsidRPr="00A2277A" w:rsidRDefault="009B2F9B" w:rsidP="0081054E">
            <w:pPr>
              <w:pStyle w:val="NoSpacing"/>
              <w:rPr>
                <w:rFonts w:asciiTheme="minorHAnsi" w:hAnsiTheme="minorHAnsi"/>
              </w:rPr>
            </w:pPr>
            <w:r w:rsidRPr="00A2277A">
              <w:rPr>
                <w:rFonts w:asciiTheme="minorHAnsi" w:hAnsiTheme="minorHAnsi"/>
                <w:color w:val="000000"/>
              </w:rPr>
              <w:t>0</w:t>
            </w:r>
          </w:p>
        </w:tc>
        <w:tc>
          <w:tcPr>
            <w:tcW w:w="907" w:type="dxa"/>
            <w:vAlign w:val="bottom"/>
          </w:tcPr>
          <w:p w:rsidR="009B2F9B" w:rsidRPr="00A2277A" w:rsidRDefault="009B2F9B" w:rsidP="0081054E">
            <w:pPr>
              <w:pStyle w:val="NoSpacing"/>
              <w:rPr>
                <w:rFonts w:asciiTheme="minorHAnsi" w:hAnsiTheme="minorHAnsi"/>
              </w:rPr>
            </w:pPr>
            <w:r w:rsidRPr="00A2277A">
              <w:rPr>
                <w:rFonts w:asciiTheme="minorHAnsi" w:hAnsiTheme="minorHAnsi"/>
                <w:color w:val="000000"/>
              </w:rPr>
              <w:t>0</w:t>
            </w:r>
          </w:p>
        </w:tc>
        <w:tc>
          <w:tcPr>
            <w:tcW w:w="711" w:type="dxa"/>
            <w:vAlign w:val="bottom"/>
          </w:tcPr>
          <w:p w:rsidR="009B2F9B" w:rsidRPr="00A2277A" w:rsidRDefault="009B2F9B" w:rsidP="0081054E">
            <w:pPr>
              <w:pStyle w:val="NoSpacing"/>
              <w:rPr>
                <w:rFonts w:asciiTheme="minorHAnsi" w:hAnsiTheme="minorHAnsi"/>
                <w:b/>
              </w:rPr>
            </w:pPr>
            <w:r w:rsidRPr="00A2277A">
              <w:rPr>
                <w:rFonts w:asciiTheme="minorHAnsi" w:hAnsiTheme="minorHAnsi"/>
                <w:b/>
                <w:color w:val="000000"/>
              </w:rPr>
              <w:t>59</w:t>
            </w:r>
          </w:p>
        </w:tc>
      </w:tr>
      <w:tr w:rsidR="009B2F9B" w:rsidRPr="00A2277A" w:rsidTr="00A475FE">
        <w:trPr>
          <w:trHeight w:val="144"/>
          <w:jc w:val="center"/>
        </w:trPr>
        <w:tc>
          <w:tcPr>
            <w:tcW w:w="1255" w:type="dxa"/>
            <w:vAlign w:val="bottom"/>
          </w:tcPr>
          <w:p w:rsidR="009B2F9B" w:rsidRPr="00A2277A" w:rsidRDefault="009B2F9B" w:rsidP="0081054E">
            <w:pPr>
              <w:pStyle w:val="NoSpacing"/>
              <w:rPr>
                <w:rFonts w:asciiTheme="minorHAnsi" w:hAnsiTheme="minorHAnsi"/>
                <w:b/>
              </w:rPr>
            </w:pPr>
            <w:r w:rsidRPr="00A2277A">
              <w:rPr>
                <w:rFonts w:asciiTheme="minorHAnsi" w:hAnsiTheme="minorHAnsi"/>
                <w:b/>
                <w:color w:val="000000"/>
              </w:rPr>
              <w:t>50-100 kW</w:t>
            </w:r>
          </w:p>
        </w:tc>
        <w:tc>
          <w:tcPr>
            <w:tcW w:w="1270" w:type="dxa"/>
            <w:vAlign w:val="bottom"/>
          </w:tcPr>
          <w:p w:rsidR="009B2F9B" w:rsidRPr="00A2277A" w:rsidRDefault="009B2F9B" w:rsidP="0081054E">
            <w:pPr>
              <w:pStyle w:val="NoSpacing"/>
              <w:rPr>
                <w:rFonts w:asciiTheme="minorHAnsi" w:hAnsiTheme="minorHAnsi"/>
              </w:rPr>
            </w:pPr>
            <w:r w:rsidRPr="00A2277A">
              <w:rPr>
                <w:rFonts w:asciiTheme="minorHAnsi" w:hAnsiTheme="minorHAnsi"/>
                <w:color w:val="000000"/>
              </w:rPr>
              <w:t>5,798</w:t>
            </w:r>
          </w:p>
        </w:tc>
        <w:tc>
          <w:tcPr>
            <w:tcW w:w="621" w:type="dxa"/>
            <w:vAlign w:val="bottom"/>
          </w:tcPr>
          <w:p w:rsidR="009B2F9B" w:rsidRPr="00A2277A" w:rsidRDefault="009B2F9B" w:rsidP="0081054E">
            <w:pPr>
              <w:pStyle w:val="NoSpacing"/>
              <w:rPr>
                <w:rFonts w:asciiTheme="minorHAnsi" w:hAnsiTheme="minorHAnsi"/>
              </w:rPr>
            </w:pPr>
            <w:r w:rsidRPr="00A2277A">
              <w:rPr>
                <w:rFonts w:asciiTheme="minorHAnsi" w:hAnsiTheme="minorHAnsi"/>
                <w:color w:val="000000"/>
              </w:rPr>
              <w:t>1,375</w:t>
            </w:r>
          </w:p>
        </w:tc>
        <w:tc>
          <w:tcPr>
            <w:tcW w:w="907" w:type="dxa"/>
            <w:vAlign w:val="bottom"/>
          </w:tcPr>
          <w:p w:rsidR="009B2F9B" w:rsidRPr="00A2277A" w:rsidRDefault="009B2F9B" w:rsidP="0081054E">
            <w:pPr>
              <w:pStyle w:val="NoSpacing"/>
              <w:rPr>
                <w:rFonts w:asciiTheme="minorHAnsi" w:hAnsiTheme="minorHAnsi"/>
              </w:rPr>
            </w:pPr>
            <w:r w:rsidRPr="00A2277A">
              <w:rPr>
                <w:rFonts w:asciiTheme="minorHAnsi" w:hAnsiTheme="minorHAnsi"/>
                <w:color w:val="000000"/>
              </w:rPr>
              <w:t>107</w:t>
            </w:r>
          </w:p>
        </w:tc>
        <w:tc>
          <w:tcPr>
            <w:tcW w:w="711" w:type="dxa"/>
            <w:vAlign w:val="bottom"/>
          </w:tcPr>
          <w:p w:rsidR="009B2F9B" w:rsidRPr="00A2277A" w:rsidRDefault="009B2F9B" w:rsidP="0081054E">
            <w:pPr>
              <w:pStyle w:val="NoSpacing"/>
              <w:rPr>
                <w:rFonts w:asciiTheme="minorHAnsi" w:hAnsiTheme="minorHAnsi"/>
                <w:b/>
              </w:rPr>
            </w:pPr>
            <w:r w:rsidRPr="00A2277A">
              <w:rPr>
                <w:rFonts w:asciiTheme="minorHAnsi" w:hAnsiTheme="minorHAnsi"/>
                <w:b/>
                <w:color w:val="000000"/>
              </w:rPr>
              <w:t>7,280</w:t>
            </w:r>
          </w:p>
        </w:tc>
        <w:tc>
          <w:tcPr>
            <w:tcW w:w="236" w:type="dxa"/>
            <w:shd w:val="clear" w:color="auto" w:fill="000000" w:themeFill="text1"/>
          </w:tcPr>
          <w:p w:rsidR="009B2F9B" w:rsidRPr="00A2277A" w:rsidRDefault="009B2F9B" w:rsidP="0081054E">
            <w:pPr>
              <w:pStyle w:val="NoSpacing"/>
              <w:rPr>
                <w:rFonts w:asciiTheme="minorHAnsi" w:hAnsiTheme="minorHAnsi"/>
              </w:rPr>
            </w:pPr>
          </w:p>
        </w:tc>
        <w:tc>
          <w:tcPr>
            <w:tcW w:w="1422" w:type="dxa"/>
            <w:vAlign w:val="bottom"/>
          </w:tcPr>
          <w:p w:rsidR="009B2F9B" w:rsidRPr="00A2277A" w:rsidRDefault="009B2F9B" w:rsidP="0081054E">
            <w:pPr>
              <w:pStyle w:val="NoSpacing"/>
              <w:rPr>
                <w:rFonts w:asciiTheme="minorHAnsi" w:hAnsiTheme="minorHAnsi"/>
                <w:b/>
              </w:rPr>
            </w:pPr>
            <w:r w:rsidRPr="00A2277A">
              <w:rPr>
                <w:rFonts w:asciiTheme="minorHAnsi" w:hAnsiTheme="minorHAnsi"/>
                <w:b/>
                <w:color w:val="000000"/>
              </w:rPr>
              <w:t>50-100 kW</w:t>
            </w:r>
          </w:p>
        </w:tc>
        <w:tc>
          <w:tcPr>
            <w:tcW w:w="1116" w:type="dxa"/>
            <w:vAlign w:val="bottom"/>
          </w:tcPr>
          <w:p w:rsidR="009B2F9B" w:rsidRPr="00A2277A" w:rsidRDefault="009B2F9B" w:rsidP="0081054E">
            <w:pPr>
              <w:pStyle w:val="NoSpacing"/>
              <w:rPr>
                <w:rFonts w:asciiTheme="minorHAnsi" w:hAnsiTheme="minorHAnsi"/>
              </w:rPr>
            </w:pPr>
            <w:r w:rsidRPr="00A2277A">
              <w:rPr>
                <w:rFonts w:asciiTheme="minorHAnsi" w:hAnsiTheme="minorHAnsi"/>
                <w:color w:val="000000"/>
              </w:rPr>
              <w:t>462</w:t>
            </w:r>
          </w:p>
        </w:tc>
        <w:tc>
          <w:tcPr>
            <w:tcW w:w="621" w:type="dxa"/>
            <w:vAlign w:val="bottom"/>
          </w:tcPr>
          <w:p w:rsidR="009B2F9B" w:rsidRPr="00A2277A" w:rsidRDefault="009B2F9B" w:rsidP="0081054E">
            <w:pPr>
              <w:pStyle w:val="NoSpacing"/>
              <w:rPr>
                <w:rFonts w:asciiTheme="minorHAnsi" w:hAnsiTheme="minorHAnsi"/>
              </w:rPr>
            </w:pPr>
            <w:r w:rsidRPr="00A2277A">
              <w:rPr>
                <w:rFonts w:asciiTheme="minorHAnsi" w:hAnsiTheme="minorHAnsi"/>
                <w:color w:val="000000"/>
              </w:rPr>
              <w:t>114</w:t>
            </w:r>
          </w:p>
        </w:tc>
        <w:tc>
          <w:tcPr>
            <w:tcW w:w="907" w:type="dxa"/>
            <w:vAlign w:val="bottom"/>
          </w:tcPr>
          <w:p w:rsidR="009B2F9B" w:rsidRPr="00A2277A" w:rsidRDefault="009B2F9B" w:rsidP="0081054E">
            <w:pPr>
              <w:pStyle w:val="NoSpacing"/>
              <w:rPr>
                <w:rFonts w:asciiTheme="minorHAnsi" w:hAnsiTheme="minorHAnsi"/>
              </w:rPr>
            </w:pPr>
            <w:r w:rsidRPr="00A2277A">
              <w:rPr>
                <w:rFonts w:asciiTheme="minorHAnsi" w:hAnsiTheme="minorHAnsi"/>
                <w:color w:val="000000"/>
              </w:rPr>
              <w:t>9</w:t>
            </w:r>
          </w:p>
        </w:tc>
        <w:tc>
          <w:tcPr>
            <w:tcW w:w="711" w:type="dxa"/>
            <w:vAlign w:val="bottom"/>
          </w:tcPr>
          <w:p w:rsidR="009B2F9B" w:rsidRPr="00A2277A" w:rsidRDefault="009B2F9B" w:rsidP="0081054E">
            <w:pPr>
              <w:pStyle w:val="NoSpacing"/>
              <w:rPr>
                <w:rFonts w:asciiTheme="minorHAnsi" w:hAnsiTheme="minorHAnsi"/>
                <w:b/>
              </w:rPr>
            </w:pPr>
            <w:r w:rsidRPr="00A2277A">
              <w:rPr>
                <w:rFonts w:asciiTheme="minorHAnsi" w:hAnsiTheme="minorHAnsi"/>
                <w:b/>
                <w:color w:val="000000"/>
              </w:rPr>
              <w:t>584</w:t>
            </w:r>
          </w:p>
        </w:tc>
      </w:tr>
      <w:tr w:rsidR="009B2F9B" w:rsidRPr="00A2277A" w:rsidTr="00A475FE">
        <w:trPr>
          <w:trHeight w:val="144"/>
          <w:jc w:val="center"/>
        </w:trPr>
        <w:tc>
          <w:tcPr>
            <w:tcW w:w="1255" w:type="dxa"/>
            <w:vAlign w:val="bottom"/>
          </w:tcPr>
          <w:p w:rsidR="009B2F9B" w:rsidRPr="00A2277A" w:rsidRDefault="009B2F9B" w:rsidP="0081054E">
            <w:pPr>
              <w:pStyle w:val="NoSpacing"/>
              <w:rPr>
                <w:rFonts w:asciiTheme="minorHAnsi" w:hAnsiTheme="minorHAnsi"/>
                <w:b/>
              </w:rPr>
            </w:pPr>
            <w:r w:rsidRPr="00A2277A">
              <w:rPr>
                <w:rFonts w:asciiTheme="minorHAnsi" w:hAnsiTheme="minorHAnsi"/>
                <w:b/>
                <w:color w:val="000000"/>
              </w:rPr>
              <w:t>100-250 kW</w:t>
            </w:r>
          </w:p>
        </w:tc>
        <w:tc>
          <w:tcPr>
            <w:tcW w:w="1270" w:type="dxa"/>
            <w:vAlign w:val="bottom"/>
          </w:tcPr>
          <w:p w:rsidR="009B2F9B" w:rsidRPr="00A2277A" w:rsidRDefault="009B2F9B" w:rsidP="0081054E">
            <w:pPr>
              <w:pStyle w:val="NoSpacing"/>
              <w:rPr>
                <w:rFonts w:asciiTheme="minorHAnsi" w:hAnsiTheme="minorHAnsi"/>
              </w:rPr>
            </w:pPr>
            <w:r w:rsidRPr="00A2277A">
              <w:rPr>
                <w:rFonts w:asciiTheme="minorHAnsi" w:hAnsiTheme="minorHAnsi"/>
                <w:color w:val="000000"/>
              </w:rPr>
              <w:t>9,226</w:t>
            </w:r>
          </w:p>
        </w:tc>
        <w:tc>
          <w:tcPr>
            <w:tcW w:w="621" w:type="dxa"/>
            <w:vAlign w:val="bottom"/>
          </w:tcPr>
          <w:p w:rsidR="009B2F9B" w:rsidRPr="00A2277A" w:rsidRDefault="009B2F9B" w:rsidP="0081054E">
            <w:pPr>
              <w:pStyle w:val="NoSpacing"/>
              <w:rPr>
                <w:rFonts w:asciiTheme="minorHAnsi" w:hAnsiTheme="minorHAnsi"/>
              </w:rPr>
            </w:pPr>
            <w:r w:rsidRPr="00A2277A">
              <w:rPr>
                <w:rFonts w:asciiTheme="minorHAnsi" w:hAnsiTheme="minorHAnsi"/>
                <w:color w:val="000000"/>
              </w:rPr>
              <w:t>2,236</w:t>
            </w:r>
          </w:p>
        </w:tc>
        <w:tc>
          <w:tcPr>
            <w:tcW w:w="907" w:type="dxa"/>
            <w:vAlign w:val="bottom"/>
          </w:tcPr>
          <w:p w:rsidR="009B2F9B" w:rsidRPr="00A2277A" w:rsidRDefault="009B2F9B" w:rsidP="0081054E">
            <w:pPr>
              <w:pStyle w:val="NoSpacing"/>
              <w:rPr>
                <w:rFonts w:asciiTheme="minorHAnsi" w:hAnsiTheme="minorHAnsi"/>
              </w:rPr>
            </w:pPr>
            <w:r w:rsidRPr="00A2277A">
              <w:rPr>
                <w:rFonts w:asciiTheme="minorHAnsi" w:hAnsiTheme="minorHAnsi"/>
                <w:color w:val="000000"/>
              </w:rPr>
              <w:t>95</w:t>
            </w:r>
          </w:p>
        </w:tc>
        <w:tc>
          <w:tcPr>
            <w:tcW w:w="711" w:type="dxa"/>
            <w:vAlign w:val="bottom"/>
          </w:tcPr>
          <w:p w:rsidR="009B2F9B" w:rsidRPr="00A2277A" w:rsidRDefault="009B2F9B" w:rsidP="0081054E">
            <w:pPr>
              <w:pStyle w:val="NoSpacing"/>
              <w:rPr>
                <w:rFonts w:asciiTheme="minorHAnsi" w:hAnsiTheme="minorHAnsi"/>
                <w:b/>
              </w:rPr>
            </w:pPr>
            <w:r w:rsidRPr="00A2277A">
              <w:rPr>
                <w:rFonts w:asciiTheme="minorHAnsi" w:hAnsiTheme="minorHAnsi"/>
                <w:b/>
                <w:color w:val="000000"/>
              </w:rPr>
              <w:t>11,557</w:t>
            </w:r>
          </w:p>
        </w:tc>
        <w:tc>
          <w:tcPr>
            <w:tcW w:w="236" w:type="dxa"/>
            <w:shd w:val="clear" w:color="auto" w:fill="000000" w:themeFill="text1"/>
          </w:tcPr>
          <w:p w:rsidR="009B2F9B" w:rsidRPr="00A2277A" w:rsidRDefault="009B2F9B" w:rsidP="0081054E">
            <w:pPr>
              <w:pStyle w:val="NoSpacing"/>
              <w:rPr>
                <w:rFonts w:asciiTheme="minorHAnsi" w:hAnsiTheme="minorHAnsi"/>
              </w:rPr>
            </w:pPr>
          </w:p>
        </w:tc>
        <w:tc>
          <w:tcPr>
            <w:tcW w:w="1422" w:type="dxa"/>
            <w:vAlign w:val="bottom"/>
          </w:tcPr>
          <w:p w:rsidR="009B2F9B" w:rsidRPr="00A2277A" w:rsidRDefault="009B2F9B" w:rsidP="0081054E">
            <w:pPr>
              <w:pStyle w:val="NoSpacing"/>
              <w:rPr>
                <w:rFonts w:asciiTheme="minorHAnsi" w:hAnsiTheme="minorHAnsi"/>
                <w:b/>
              </w:rPr>
            </w:pPr>
            <w:r w:rsidRPr="00A2277A">
              <w:rPr>
                <w:rFonts w:asciiTheme="minorHAnsi" w:hAnsiTheme="minorHAnsi"/>
                <w:b/>
                <w:color w:val="000000"/>
              </w:rPr>
              <w:t>100-250 kW</w:t>
            </w:r>
          </w:p>
        </w:tc>
        <w:tc>
          <w:tcPr>
            <w:tcW w:w="1116" w:type="dxa"/>
            <w:vAlign w:val="bottom"/>
          </w:tcPr>
          <w:p w:rsidR="009B2F9B" w:rsidRPr="00A2277A" w:rsidRDefault="009B2F9B" w:rsidP="0081054E">
            <w:pPr>
              <w:pStyle w:val="NoSpacing"/>
              <w:rPr>
                <w:rFonts w:asciiTheme="minorHAnsi" w:hAnsiTheme="minorHAnsi"/>
              </w:rPr>
            </w:pPr>
            <w:r w:rsidRPr="00A2277A">
              <w:rPr>
                <w:rFonts w:asciiTheme="minorHAnsi" w:hAnsiTheme="minorHAnsi"/>
                <w:color w:val="000000"/>
              </w:rPr>
              <w:t>1,564</w:t>
            </w:r>
          </w:p>
        </w:tc>
        <w:tc>
          <w:tcPr>
            <w:tcW w:w="621" w:type="dxa"/>
            <w:vAlign w:val="bottom"/>
          </w:tcPr>
          <w:p w:rsidR="009B2F9B" w:rsidRPr="00A2277A" w:rsidRDefault="009B2F9B" w:rsidP="0081054E">
            <w:pPr>
              <w:pStyle w:val="NoSpacing"/>
              <w:rPr>
                <w:rFonts w:asciiTheme="minorHAnsi" w:hAnsiTheme="minorHAnsi"/>
              </w:rPr>
            </w:pPr>
            <w:r w:rsidRPr="00A2277A">
              <w:rPr>
                <w:rFonts w:asciiTheme="minorHAnsi" w:hAnsiTheme="minorHAnsi"/>
                <w:color w:val="000000"/>
              </w:rPr>
              <w:t>371</w:t>
            </w:r>
          </w:p>
        </w:tc>
        <w:tc>
          <w:tcPr>
            <w:tcW w:w="907" w:type="dxa"/>
            <w:vAlign w:val="bottom"/>
          </w:tcPr>
          <w:p w:rsidR="009B2F9B" w:rsidRPr="00A2277A" w:rsidRDefault="009B2F9B" w:rsidP="0081054E">
            <w:pPr>
              <w:pStyle w:val="NoSpacing"/>
              <w:rPr>
                <w:rFonts w:asciiTheme="minorHAnsi" w:hAnsiTheme="minorHAnsi"/>
              </w:rPr>
            </w:pPr>
            <w:r w:rsidRPr="00A2277A">
              <w:rPr>
                <w:rFonts w:asciiTheme="minorHAnsi" w:hAnsiTheme="minorHAnsi"/>
                <w:color w:val="000000"/>
              </w:rPr>
              <w:t>14</w:t>
            </w:r>
          </w:p>
        </w:tc>
        <w:tc>
          <w:tcPr>
            <w:tcW w:w="711" w:type="dxa"/>
            <w:vAlign w:val="bottom"/>
          </w:tcPr>
          <w:p w:rsidR="009B2F9B" w:rsidRPr="00A2277A" w:rsidRDefault="009B2F9B" w:rsidP="0081054E">
            <w:pPr>
              <w:pStyle w:val="NoSpacing"/>
              <w:rPr>
                <w:rFonts w:asciiTheme="minorHAnsi" w:hAnsiTheme="minorHAnsi"/>
                <w:b/>
              </w:rPr>
            </w:pPr>
            <w:r w:rsidRPr="00A2277A">
              <w:rPr>
                <w:rFonts w:asciiTheme="minorHAnsi" w:hAnsiTheme="minorHAnsi"/>
                <w:b/>
                <w:color w:val="000000"/>
              </w:rPr>
              <w:t>1,949</w:t>
            </w:r>
          </w:p>
        </w:tc>
      </w:tr>
      <w:tr w:rsidR="009B2F9B" w:rsidRPr="00A2277A" w:rsidTr="00A475FE">
        <w:trPr>
          <w:trHeight w:val="144"/>
          <w:jc w:val="center"/>
        </w:trPr>
        <w:tc>
          <w:tcPr>
            <w:tcW w:w="1255" w:type="dxa"/>
            <w:vAlign w:val="bottom"/>
          </w:tcPr>
          <w:p w:rsidR="009B2F9B" w:rsidRPr="00A2277A" w:rsidRDefault="009B2F9B" w:rsidP="0081054E">
            <w:pPr>
              <w:pStyle w:val="NoSpacing"/>
              <w:rPr>
                <w:rFonts w:asciiTheme="minorHAnsi" w:hAnsiTheme="minorHAnsi"/>
                <w:b/>
              </w:rPr>
            </w:pPr>
            <w:r w:rsidRPr="00A2277A">
              <w:rPr>
                <w:rFonts w:asciiTheme="minorHAnsi" w:hAnsiTheme="minorHAnsi"/>
                <w:b/>
                <w:color w:val="000000"/>
              </w:rPr>
              <w:t>250-500 kW</w:t>
            </w:r>
          </w:p>
        </w:tc>
        <w:tc>
          <w:tcPr>
            <w:tcW w:w="1270" w:type="dxa"/>
            <w:vAlign w:val="bottom"/>
          </w:tcPr>
          <w:p w:rsidR="009B2F9B" w:rsidRPr="00A2277A" w:rsidRDefault="009B2F9B" w:rsidP="0081054E">
            <w:pPr>
              <w:pStyle w:val="NoSpacing"/>
              <w:rPr>
                <w:rFonts w:asciiTheme="minorHAnsi" w:hAnsiTheme="minorHAnsi"/>
              </w:rPr>
            </w:pPr>
            <w:r w:rsidRPr="00A2277A">
              <w:rPr>
                <w:rFonts w:asciiTheme="minorHAnsi" w:hAnsiTheme="minorHAnsi"/>
                <w:color w:val="000000"/>
              </w:rPr>
              <w:t>5,918</w:t>
            </w:r>
          </w:p>
        </w:tc>
        <w:tc>
          <w:tcPr>
            <w:tcW w:w="621" w:type="dxa"/>
            <w:vAlign w:val="bottom"/>
          </w:tcPr>
          <w:p w:rsidR="009B2F9B" w:rsidRPr="00A2277A" w:rsidRDefault="009B2F9B" w:rsidP="0081054E">
            <w:pPr>
              <w:pStyle w:val="NoSpacing"/>
              <w:rPr>
                <w:rFonts w:asciiTheme="minorHAnsi" w:hAnsiTheme="minorHAnsi"/>
              </w:rPr>
            </w:pPr>
            <w:r w:rsidRPr="00A2277A">
              <w:rPr>
                <w:rFonts w:asciiTheme="minorHAnsi" w:hAnsiTheme="minorHAnsi"/>
                <w:color w:val="000000"/>
              </w:rPr>
              <w:t>1,231</w:t>
            </w:r>
          </w:p>
        </w:tc>
        <w:tc>
          <w:tcPr>
            <w:tcW w:w="907" w:type="dxa"/>
            <w:vAlign w:val="bottom"/>
          </w:tcPr>
          <w:p w:rsidR="009B2F9B" w:rsidRPr="00A2277A" w:rsidRDefault="009B2F9B" w:rsidP="0081054E">
            <w:pPr>
              <w:pStyle w:val="NoSpacing"/>
              <w:rPr>
                <w:rFonts w:asciiTheme="minorHAnsi" w:hAnsiTheme="minorHAnsi"/>
              </w:rPr>
            </w:pPr>
            <w:r w:rsidRPr="00A2277A">
              <w:rPr>
                <w:rFonts w:asciiTheme="minorHAnsi" w:hAnsiTheme="minorHAnsi"/>
                <w:color w:val="000000"/>
              </w:rPr>
              <w:t>7</w:t>
            </w:r>
          </w:p>
        </w:tc>
        <w:tc>
          <w:tcPr>
            <w:tcW w:w="711" w:type="dxa"/>
            <w:vAlign w:val="bottom"/>
          </w:tcPr>
          <w:p w:rsidR="009B2F9B" w:rsidRPr="00A2277A" w:rsidRDefault="009B2F9B" w:rsidP="0081054E">
            <w:pPr>
              <w:pStyle w:val="NoSpacing"/>
              <w:rPr>
                <w:rFonts w:asciiTheme="minorHAnsi" w:hAnsiTheme="minorHAnsi"/>
                <w:b/>
              </w:rPr>
            </w:pPr>
            <w:r w:rsidRPr="00A2277A">
              <w:rPr>
                <w:rFonts w:asciiTheme="minorHAnsi" w:hAnsiTheme="minorHAnsi"/>
                <w:b/>
                <w:color w:val="000000"/>
              </w:rPr>
              <w:t>7,156</w:t>
            </w:r>
          </w:p>
        </w:tc>
        <w:tc>
          <w:tcPr>
            <w:tcW w:w="236" w:type="dxa"/>
            <w:shd w:val="clear" w:color="auto" w:fill="000000" w:themeFill="text1"/>
          </w:tcPr>
          <w:p w:rsidR="009B2F9B" w:rsidRPr="00A2277A" w:rsidRDefault="009B2F9B" w:rsidP="0081054E">
            <w:pPr>
              <w:pStyle w:val="NoSpacing"/>
              <w:rPr>
                <w:rFonts w:asciiTheme="minorHAnsi" w:hAnsiTheme="minorHAnsi"/>
              </w:rPr>
            </w:pPr>
          </w:p>
        </w:tc>
        <w:tc>
          <w:tcPr>
            <w:tcW w:w="1422" w:type="dxa"/>
            <w:vAlign w:val="bottom"/>
          </w:tcPr>
          <w:p w:rsidR="009B2F9B" w:rsidRPr="00A2277A" w:rsidRDefault="009B2F9B" w:rsidP="0081054E">
            <w:pPr>
              <w:pStyle w:val="NoSpacing"/>
              <w:rPr>
                <w:rFonts w:asciiTheme="minorHAnsi" w:hAnsiTheme="minorHAnsi"/>
                <w:b/>
              </w:rPr>
            </w:pPr>
            <w:r w:rsidRPr="00A2277A">
              <w:rPr>
                <w:rFonts w:asciiTheme="minorHAnsi" w:hAnsiTheme="minorHAnsi"/>
                <w:b/>
                <w:color w:val="000000"/>
              </w:rPr>
              <w:t>250-500 kW</w:t>
            </w:r>
          </w:p>
        </w:tc>
        <w:tc>
          <w:tcPr>
            <w:tcW w:w="1116" w:type="dxa"/>
            <w:vAlign w:val="bottom"/>
          </w:tcPr>
          <w:p w:rsidR="009B2F9B" w:rsidRPr="00A2277A" w:rsidRDefault="009B2F9B" w:rsidP="0081054E">
            <w:pPr>
              <w:pStyle w:val="NoSpacing"/>
              <w:rPr>
                <w:rFonts w:asciiTheme="minorHAnsi" w:hAnsiTheme="minorHAnsi"/>
              </w:rPr>
            </w:pPr>
            <w:r w:rsidRPr="00A2277A">
              <w:rPr>
                <w:rFonts w:asciiTheme="minorHAnsi" w:hAnsiTheme="minorHAnsi"/>
                <w:color w:val="000000"/>
              </w:rPr>
              <w:t>2,126</w:t>
            </w:r>
          </w:p>
        </w:tc>
        <w:tc>
          <w:tcPr>
            <w:tcW w:w="621" w:type="dxa"/>
            <w:vAlign w:val="bottom"/>
          </w:tcPr>
          <w:p w:rsidR="009B2F9B" w:rsidRPr="00A2277A" w:rsidRDefault="009B2F9B" w:rsidP="0081054E">
            <w:pPr>
              <w:pStyle w:val="NoSpacing"/>
              <w:rPr>
                <w:rFonts w:asciiTheme="minorHAnsi" w:hAnsiTheme="minorHAnsi"/>
              </w:rPr>
            </w:pPr>
            <w:r w:rsidRPr="00A2277A">
              <w:rPr>
                <w:rFonts w:asciiTheme="minorHAnsi" w:hAnsiTheme="minorHAnsi"/>
                <w:color w:val="000000"/>
              </w:rPr>
              <w:t>443</w:t>
            </w:r>
          </w:p>
        </w:tc>
        <w:tc>
          <w:tcPr>
            <w:tcW w:w="907" w:type="dxa"/>
            <w:vAlign w:val="bottom"/>
          </w:tcPr>
          <w:p w:rsidR="009B2F9B" w:rsidRPr="00A2277A" w:rsidRDefault="009B2F9B" w:rsidP="0081054E">
            <w:pPr>
              <w:pStyle w:val="NoSpacing"/>
              <w:rPr>
                <w:rFonts w:asciiTheme="minorHAnsi" w:hAnsiTheme="minorHAnsi"/>
              </w:rPr>
            </w:pPr>
            <w:r w:rsidRPr="00A2277A">
              <w:rPr>
                <w:rFonts w:asciiTheme="minorHAnsi" w:hAnsiTheme="minorHAnsi"/>
                <w:color w:val="000000"/>
              </w:rPr>
              <w:t>3</w:t>
            </w:r>
          </w:p>
        </w:tc>
        <w:tc>
          <w:tcPr>
            <w:tcW w:w="711" w:type="dxa"/>
            <w:vAlign w:val="bottom"/>
          </w:tcPr>
          <w:p w:rsidR="009B2F9B" w:rsidRPr="00A2277A" w:rsidRDefault="009B2F9B" w:rsidP="0081054E">
            <w:pPr>
              <w:pStyle w:val="NoSpacing"/>
              <w:rPr>
                <w:rFonts w:asciiTheme="minorHAnsi" w:hAnsiTheme="minorHAnsi"/>
                <w:b/>
              </w:rPr>
            </w:pPr>
            <w:r w:rsidRPr="00A2277A">
              <w:rPr>
                <w:rFonts w:asciiTheme="minorHAnsi" w:hAnsiTheme="minorHAnsi"/>
                <w:b/>
                <w:color w:val="000000"/>
              </w:rPr>
              <w:t>2,572</w:t>
            </w:r>
          </w:p>
        </w:tc>
      </w:tr>
      <w:tr w:rsidR="009B2F9B" w:rsidRPr="00A2277A" w:rsidTr="00A475FE">
        <w:trPr>
          <w:trHeight w:val="144"/>
          <w:jc w:val="center"/>
        </w:trPr>
        <w:tc>
          <w:tcPr>
            <w:tcW w:w="1255" w:type="dxa"/>
            <w:vAlign w:val="bottom"/>
          </w:tcPr>
          <w:p w:rsidR="009B2F9B" w:rsidRPr="00A2277A" w:rsidRDefault="009B2F9B" w:rsidP="0081054E">
            <w:pPr>
              <w:pStyle w:val="NoSpacing"/>
              <w:rPr>
                <w:rFonts w:asciiTheme="minorHAnsi" w:hAnsiTheme="minorHAnsi"/>
                <w:b/>
              </w:rPr>
            </w:pPr>
            <w:r w:rsidRPr="00A2277A">
              <w:rPr>
                <w:rFonts w:asciiTheme="minorHAnsi" w:hAnsiTheme="minorHAnsi"/>
                <w:b/>
                <w:color w:val="000000"/>
              </w:rPr>
              <w:t>500-750 kW</w:t>
            </w:r>
          </w:p>
        </w:tc>
        <w:tc>
          <w:tcPr>
            <w:tcW w:w="1270" w:type="dxa"/>
            <w:vAlign w:val="bottom"/>
          </w:tcPr>
          <w:p w:rsidR="009B2F9B" w:rsidRPr="00A2277A" w:rsidRDefault="009B2F9B" w:rsidP="0081054E">
            <w:pPr>
              <w:pStyle w:val="NoSpacing"/>
              <w:rPr>
                <w:rFonts w:asciiTheme="minorHAnsi" w:hAnsiTheme="minorHAnsi"/>
              </w:rPr>
            </w:pPr>
            <w:r w:rsidRPr="00A2277A">
              <w:rPr>
                <w:rFonts w:asciiTheme="minorHAnsi" w:hAnsiTheme="minorHAnsi"/>
                <w:color w:val="000000"/>
              </w:rPr>
              <w:t>1,296</w:t>
            </w:r>
          </w:p>
        </w:tc>
        <w:tc>
          <w:tcPr>
            <w:tcW w:w="621" w:type="dxa"/>
            <w:vAlign w:val="bottom"/>
          </w:tcPr>
          <w:p w:rsidR="009B2F9B" w:rsidRPr="00A2277A" w:rsidRDefault="009B2F9B" w:rsidP="0081054E">
            <w:pPr>
              <w:pStyle w:val="NoSpacing"/>
              <w:rPr>
                <w:rFonts w:asciiTheme="minorHAnsi" w:hAnsiTheme="minorHAnsi"/>
              </w:rPr>
            </w:pPr>
            <w:r w:rsidRPr="00A2277A">
              <w:rPr>
                <w:rFonts w:asciiTheme="minorHAnsi" w:hAnsiTheme="minorHAnsi"/>
                <w:color w:val="000000"/>
              </w:rPr>
              <w:t>316</w:t>
            </w:r>
          </w:p>
        </w:tc>
        <w:tc>
          <w:tcPr>
            <w:tcW w:w="907" w:type="dxa"/>
            <w:vAlign w:val="bottom"/>
          </w:tcPr>
          <w:p w:rsidR="009B2F9B" w:rsidRPr="00A2277A" w:rsidRDefault="009B2F9B" w:rsidP="0081054E">
            <w:pPr>
              <w:pStyle w:val="NoSpacing"/>
              <w:rPr>
                <w:rFonts w:asciiTheme="minorHAnsi" w:hAnsiTheme="minorHAnsi"/>
              </w:rPr>
            </w:pPr>
            <w:r w:rsidRPr="00A2277A">
              <w:rPr>
                <w:rFonts w:asciiTheme="minorHAnsi" w:hAnsiTheme="minorHAnsi"/>
                <w:color w:val="000000"/>
              </w:rPr>
              <w:t>47</w:t>
            </w:r>
          </w:p>
        </w:tc>
        <w:tc>
          <w:tcPr>
            <w:tcW w:w="711" w:type="dxa"/>
            <w:vAlign w:val="bottom"/>
          </w:tcPr>
          <w:p w:rsidR="009B2F9B" w:rsidRPr="00A2277A" w:rsidRDefault="009B2F9B" w:rsidP="0081054E">
            <w:pPr>
              <w:pStyle w:val="NoSpacing"/>
              <w:rPr>
                <w:rFonts w:asciiTheme="minorHAnsi" w:hAnsiTheme="minorHAnsi"/>
                <w:b/>
              </w:rPr>
            </w:pPr>
            <w:r w:rsidRPr="00A2277A">
              <w:rPr>
                <w:rFonts w:asciiTheme="minorHAnsi" w:hAnsiTheme="minorHAnsi"/>
                <w:b/>
                <w:color w:val="000000"/>
              </w:rPr>
              <w:t>1,659</w:t>
            </w:r>
          </w:p>
        </w:tc>
        <w:tc>
          <w:tcPr>
            <w:tcW w:w="236" w:type="dxa"/>
            <w:shd w:val="clear" w:color="auto" w:fill="000000" w:themeFill="text1"/>
          </w:tcPr>
          <w:p w:rsidR="009B2F9B" w:rsidRPr="00A2277A" w:rsidRDefault="009B2F9B" w:rsidP="0081054E">
            <w:pPr>
              <w:pStyle w:val="NoSpacing"/>
              <w:rPr>
                <w:rFonts w:asciiTheme="minorHAnsi" w:hAnsiTheme="minorHAnsi"/>
              </w:rPr>
            </w:pPr>
          </w:p>
        </w:tc>
        <w:tc>
          <w:tcPr>
            <w:tcW w:w="1422" w:type="dxa"/>
            <w:vAlign w:val="bottom"/>
          </w:tcPr>
          <w:p w:rsidR="009B2F9B" w:rsidRPr="00A2277A" w:rsidRDefault="009B2F9B" w:rsidP="0081054E">
            <w:pPr>
              <w:pStyle w:val="NoSpacing"/>
              <w:rPr>
                <w:rFonts w:asciiTheme="minorHAnsi" w:hAnsiTheme="minorHAnsi"/>
                <w:b/>
              </w:rPr>
            </w:pPr>
            <w:r w:rsidRPr="00A2277A">
              <w:rPr>
                <w:rFonts w:asciiTheme="minorHAnsi" w:hAnsiTheme="minorHAnsi"/>
                <w:b/>
                <w:color w:val="000000"/>
              </w:rPr>
              <w:t>500-750 kW</w:t>
            </w:r>
          </w:p>
        </w:tc>
        <w:tc>
          <w:tcPr>
            <w:tcW w:w="1116" w:type="dxa"/>
            <w:vAlign w:val="bottom"/>
          </w:tcPr>
          <w:p w:rsidR="009B2F9B" w:rsidRPr="00A2277A" w:rsidRDefault="009B2F9B" w:rsidP="0081054E">
            <w:pPr>
              <w:pStyle w:val="NoSpacing"/>
              <w:rPr>
                <w:rFonts w:asciiTheme="minorHAnsi" w:hAnsiTheme="minorHAnsi"/>
              </w:rPr>
            </w:pPr>
            <w:r w:rsidRPr="00A2277A">
              <w:rPr>
                <w:rFonts w:asciiTheme="minorHAnsi" w:hAnsiTheme="minorHAnsi"/>
                <w:color w:val="000000"/>
              </w:rPr>
              <w:t>801</w:t>
            </w:r>
          </w:p>
        </w:tc>
        <w:tc>
          <w:tcPr>
            <w:tcW w:w="621" w:type="dxa"/>
            <w:vAlign w:val="bottom"/>
          </w:tcPr>
          <w:p w:rsidR="009B2F9B" w:rsidRPr="00A2277A" w:rsidRDefault="009B2F9B" w:rsidP="0081054E">
            <w:pPr>
              <w:pStyle w:val="NoSpacing"/>
              <w:rPr>
                <w:rFonts w:asciiTheme="minorHAnsi" w:hAnsiTheme="minorHAnsi"/>
              </w:rPr>
            </w:pPr>
            <w:r w:rsidRPr="00A2277A">
              <w:rPr>
                <w:rFonts w:asciiTheme="minorHAnsi" w:hAnsiTheme="minorHAnsi"/>
                <w:color w:val="000000"/>
              </w:rPr>
              <w:t>196</w:t>
            </w:r>
          </w:p>
        </w:tc>
        <w:tc>
          <w:tcPr>
            <w:tcW w:w="907" w:type="dxa"/>
            <w:vAlign w:val="bottom"/>
          </w:tcPr>
          <w:p w:rsidR="009B2F9B" w:rsidRPr="00A2277A" w:rsidRDefault="009B2F9B" w:rsidP="0081054E">
            <w:pPr>
              <w:pStyle w:val="NoSpacing"/>
              <w:rPr>
                <w:rFonts w:asciiTheme="minorHAnsi" w:hAnsiTheme="minorHAnsi"/>
              </w:rPr>
            </w:pPr>
            <w:r w:rsidRPr="00A2277A">
              <w:rPr>
                <w:rFonts w:asciiTheme="minorHAnsi" w:hAnsiTheme="minorHAnsi"/>
                <w:color w:val="000000"/>
              </w:rPr>
              <w:t>29</w:t>
            </w:r>
          </w:p>
        </w:tc>
        <w:tc>
          <w:tcPr>
            <w:tcW w:w="711" w:type="dxa"/>
            <w:vAlign w:val="bottom"/>
          </w:tcPr>
          <w:p w:rsidR="009B2F9B" w:rsidRPr="00A2277A" w:rsidRDefault="009B2F9B" w:rsidP="0081054E">
            <w:pPr>
              <w:pStyle w:val="NoSpacing"/>
              <w:rPr>
                <w:rFonts w:asciiTheme="minorHAnsi" w:hAnsiTheme="minorHAnsi"/>
                <w:b/>
              </w:rPr>
            </w:pPr>
            <w:r w:rsidRPr="00A2277A">
              <w:rPr>
                <w:rFonts w:asciiTheme="minorHAnsi" w:hAnsiTheme="minorHAnsi"/>
                <w:b/>
                <w:color w:val="000000"/>
              </w:rPr>
              <w:t>1,026</w:t>
            </w:r>
          </w:p>
        </w:tc>
      </w:tr>
      <w:tr w:rsidR="009B2F9B" w:rsidRPr="00A2277A" w:rsidTr="00A475FE">
        <w:trPr>
          <w:trHeight w:val="144"/>
          <w:jc w:val="center"/>
        </w:trPr>
        <w:tc>
          <w:tcPr>
            <w:tcW w:w="1255" w:type="dxa"/>
            <w:vAlign w:val="bottom"/>
          </w:tcPr>
          <w:p w:rsidR="009B2F9B" w:rsidRPr="00A2277A" w:rsidRDefault="009B2F9B" w:rsidP="0081054E">
            <w:pPr>
              <w:pStyle w:val="NoSpacing"/>
              <w:rPr>
                <w:rFonts w:asciiTheme="minorHAnsi" w:hAnsiTheme="minorHAnsi"/>
                <w:b/>
              </w:rPr>
            </w:pPr>
            <w:r w:rsidRPr="00A2277A">
              <w:rPr>
                <w:rFonts w:asciiTheme="minorHAnsi" w:hAnsiTheme="minorHAnsi"/>
                <w:b/>
                <w:color w:val="000000"/>
              </w:rPr>
              <w:t>750-1000 kW</w:t>
            </w:r>
          </w:p>
        </w:tc>
        <w:tc>
          <w:tcPr>
            <w:tcW w:w="1270" w:type="dxa"/>
            <w:vAlign w:val="bottom"/>
          </w:tcPr>
          <w:p w:rsidR="009B2F9B" w:rsidRPr="00A2277A" w:rsidRDefault="009B2F9B" w:rsidP="0081054E">
            <w:pPr>
              <w:pStyle w:val="NoSpacing"/>
              <w:rPr>
                <w:rFonts w:asciiTheme="minorHAnsi" w:hAnsiTheme="minorHAnsi"/>
              </w:rPr>
            </w:pPr>
            <w:r w:rsidRPr="00A2277A">
              <w:rPr>
                <w:rFonts w:asciiTheme="minorHAnsi" w:hAnsiTheme="minorHAnsi"/>
                <w:color w:val="000000"/>
              </w:rPr>
              <w:t>1,164</w:t>
            </w:r>
          </w:p>
        </w:tc>
        <w:tc>
          <w:tcPr>
            <w:tcW w:w="621" w:type="dxa"/>
            <w:vAlign w:val="bottom"/>
          </w:tcPr>
          <w:p w:rsidR="009B2F9B" w:rsidRPr="00A2277A" w:rsidRDefault="009B2F9B" w:rsidP="0081054E">
            <w:pPr>
              <w:pStyle w:val="NoSpacing"/>
              <w:rPr>
                <w:rFonts w:asciiTheme="minorHAnsi" w:hAnsiTheme="minorHAnsi"/>
              </w:rPr>
            </w:pPr>
            <w:r w:rsidRPr="00A2277A">
              <w:rPr>
                <w:rFonts w:asciiTheme="minorHAnsi" w:hAnsiTheme="minorHAnsi"/>
                <w:color w:val="000000"/>
              </w:rPr>
              <w:t>292</w:t>
            </w:r>
          </w:p>
        </w:tc>
        <w:tc>
          <w:tcPr>
            <w:tcW w:w="907" w:type="dxa"/>
            <w:vAlign w:val="bottom"/>
          </w:tcPr>
          <w:p w:rsidR="009B2F9B" w:rsidRPr="00A2277A" w:rsidRDefault="009B2F9B" w:rsidP="0081054E">
            <w:pPr>
              <w:pStyle w:val="NoSpacing"/>
              <w:rPr>
                <w:rFonts w:asciiTheme="minorHAnsi" w:hAnsiTheme="minorHAnsi"/>
              </w:rPr>
            </w:pPr>
            <w:r w:rsidRPr="00A2277A">
              <w:rPr>
                <w:rFonts w:asciiTheme="minorHAnsi" w:hAnsiTheme="minorHAnsi"/>
                <w:color w:val="000000"/>
              </w:rPr>
              <w:t>51</w:t>
            </w:r>
          </w:p>
        </w:tc>
        <w:tc>
          <w:tcPr>
            <w:tcW w:w="711" w:type="dxa"/>
            <w:vAlign w:val="bottom"/>
          </w:tcPr>
          <w:p w:rsidR="009B2F9B" w:rsidRPr="00A2277A" w:rsidRDefault="009B2F9B" w:rsidP="0081054E">
            <w:pPr>
              <w:pStyle w:val="NoSpacing"/>
              <w:rPr>
                <w:rFonts w:asciiTheme="minorHAnsi" w:hAnsiTheme="minorHAnsi"/>
                <w:b/>
              </w:rPr>
            </w:pPr>
            <w:r w:rsidRPr="00A2277A">
              <w:rPr>
                <w:rFonts w:asciiTheme="minorHAnsi" w:hAnsiTheme="minorHAnsi"/>
                <w:b/>
                <w:color w:val="000000"/>
              </w:rPr>
              <w:t>1,507</w:t>
            </w:r>
          </w:p>
        </w:tc>
        <w:tc>
          <w:tcPr>
            <w:tcW w:w="236" w:type="dxa"/>
            <w:shd w:val="clear" w:color="auto" w:fill="000000" w:themeFill="text1"/>
          </w:tcPr>
          <w:p w:rsidR="009B2F9B" w:rsidRPr="00A2277A" w:rsidRDefault="009B2F9B" w:rsidP="0081054E">
            <w:pPr>
              <w:pStyle w:val="NoSpacing"/>
              <w:rPr>
                <w:rFonts w:asciiTheme="minorHAnsi" w:hAnsiTheme="minorHAnsi"/>
              </w:rPr>
            </w:pPr>
          </w:p>
        </w:tc>
        <w:tc>
          <w:tcPr>
            <w:tcW w:w="1422" w:type="dxa"/>
            <w:vAlign w:val="bottom"/>
          </w:tcPr>
          <w:p w:rsidR="009B2F9B" w:rsidRPr="00A2277A" w:rsidRDefault="009B2F9B" w:rsidP="0081054E">
            <w:pPr>
              <w:pStyle w:val="NoSpacing"/>
              <w:rPr>
                <w:rFonts w:asciiTheme="minorHAnsi" w:hAnsiTheme="minorHAnsi"/>
                <w:b/>
              </w:rPr>
            </w:pPr>
            <w:r w:rsidRPr="00A2277A">
              <w:rPr>
                <w:rFonts w:asciiTheme="minorHAnsi" w:hAnsiTheme="minorHAnsi"/>
                <w:b/>
                <w:color w:val="000000"/>
              </w:rPr>
              <w:t>750-1000 kW</w:t>
            </w:r>
          </w:p>
        </w:tc>
        <w:tc>
          <w:tcPr>
            <w:tcW w:w="1116" w:type="dxa"/>
            <w:vAlign w:val="bottom"/>
          </w:tcPr>
          <w:p w:rsidR="009B2F9B" w:rsidRPr="00A2277A" w:rsidRDefault="009B2F9B" w:rsidP="0081054E">
            <w:pPr>
              <w:pStyle w:val="NoSpacing"/>
              <w:rPr>
                <w:rFonts w:asciiTheme="minorHAnsi" w:hAnsiTheme="minorHAnsi"/>
              </w:rPr>
            </w:pPr>
            <w:r w:rsidRPr="00A2277A">
              <w:rPr>
                <w:rFonts w:asciiTheme="minorHAnsi" w:hAnsiTheme="minorHAnsi"/>
                <w:color w:val="000000"/>
              </w:rPr>
              <w:t>921</w:t>
            </w:r>
          </w:p>
        </w:tc>
        <w:tc>
          <w:tcPr>
            <w:tcW w:w="621" w:type="dxa"/>
            <w:vAlign w:val="bottom"/>
          </w:tcPr>
          <w:p w:rsidR="009B2F9B" w:rsidRPr="00A2277A" w:rsidRDefault="009B2F9B" w:rsidP="0081054E">
            <w:pPr>
              <w:pStyle w:val="NoSpacing"/>
              <w:rPr>
                <w:rFonts w:asciiTheme="minorHAnsi" w:hAnsiTheme="minorHAnsi"/>
              </w:rPr>
            </w:pPr>
            <w:r w:rsidRPr="00A2277A">
              <w:rPr>
                <w:rFonts w:asciiTheme="minorHAnsi" w:hAnsiTheme="minorHAnsi"/>
                <w:color w:val="000000"/>
              </w:rPr>
              <w:t>230</w:t>
            </w:r>
          </w:p>
        </w:tc>
        <w:tc>
          <w:tcPr>
            <w:tcW w:w="907" w:type="dxa"/>
            <w:vAlign w:val="bottom"/>
          </w:tcPr>
          <w:p w:rsidR="009B2F9B" w:rsidRPr="00A2277A" w:rsidRDefault="009B2F9B" w:rsidP="0081054E">
            <w:pPr>
              <w:pStyle w:val="NoSpacing"/>
              <w:rPr>
                <w:rFonts w:asciiTheme="minorHAnsi" w:hAnsiTheme="minorHAnsi"/>
              </w:rPr>
            </w:pPr>
            <w:r w:rsidRPr="00A2277A">
              <w:rPr>
                <w:rFonts w:asciiTheme="minorHAnsi" w:hAnsiTheme="minorHAnsi"/>
                <w:color w:val="000000"/>
              </w:rPr>
              <w:t>40</w:t>
            </w:r>
          </w:p>
        </w:tc>
        <w:tc>
          <w:tcPr>
            <w:tcW w:w="711" w:type="dxa"/>
            <w:vAlign w:val="bottom"/>
          </w:tcPr>
          <w:p w:rsidR="009B2F9B" w:rsidRPr="00A2277A" w:rsidRDefault="009B2F9B" w:rsidP="0081054E">
            <w:pPr>
              <w:pStyle w:val="NoSpacing"/>
              <w:rPr>
                <w:rFonts w:asciiTheme="minorHAnsi" w:hAnsiTheme="minorHAnsi"/>
                <w:b/>
              </w:rPr>
            </w:pPr>
            <w:r w:rsidRPr="00A2277A">
              <w:rPr>
                <w:rFonts w:asciiTheme="minorHAnsi" w:hAnsiTheme="minorHAnsi"/>
                <w:b/>
                <w:color w:val="000000"/>
              </w:rPr>
              <w:t>1,191</w:t>
            </w:r>
          </w:p>
        </w:tc>
      </w:tr>
      <w:tr w:rsidR="009B2F9B" w:rsidRPr="00A2277A" w:rsidTr="00A475FE">
        <w:trPr>
          <w:trHeight w:val="144"/>
          <w:jc w:val="center"/>
        </w:trPr>
        <w:tc>
          <w:tcPr>
            <w:tcW w:w="1255" w:type="dxa"/>
            <w:vAlign w:val="bottom"/>
          </w:tcPr>
          <w:p w:rsidR="009B2F9B" w:rsidRPr="00A2277A" w:rsidRDefault="009B2F9B" w:rsidP="0081054E">
            <w:pPr>
              <w:pStyle w:val="NoSpacing"/>
              <w:rPr>
                <w:rFonts w:asciiTheme="minorHAnsi" w:hAnsiTheme="minorHAnsi"/>
                <w:b/>
              </w:rPr>
            </w:pPr>
            <w:r w:rsidRPr="00A2277A">
              <w:rPr>
                <w:rFonts w:asciiTheme="minorHAnsi" w:hAnsiTheme="minorHAnsi"/>
                <w:b/>
                <w:color w:val="000000"/>
              </w:rPr>
              <w:t>1000-1500 kW</w:t>
            </w:r>
          </w:p>
        </w:tc>
        <w:tc>
          <w:tcPr>
            <w:tcW w:w="1270" w:type="dxa"/>
            <w:vAlign w:val="bottom"/>
          </w:tcPr>
          <w:p w:rsidR="009B2F9B" w:rsidRPr="00A2277A" w:rsidRDefault="009B2F9B" w:rsidP="0081054E">
            <w:pPr>
              <w:pStyle w:val="NoSpacing"/>
              <w:rPr>
                <w:rFonts w:asciiTheme="minorHAnsi" w:hAnsiTheme="minorHAnsi"/>
              </w:rPr>
            </w:pPr>
            <w:r w:rsidRPr="00A2277A">
              <w:rPr>
                <w:rFonts w:asciiTheme="minorHAnsi" w:hAnsiTheme="minorHAnsi"/>
                <w:color w:val="000000"/>
              </w:rPr>
              <w:t>641</w:t>
            </w:r>
          </w:p>
        </w:tc>
        <w:tc>
          <w:tcPr>
            <w:tcW w:w="621" w:type="dxa"/>
            <w:vAlign w:val="bottom"/>
          </w:tcPr>
          <w:p w:rsidR="009B2F9B" w:rsidRPr="00A2277A" w:rsidRDefault="009B2F9B" w:rsidP="0081054E">
            <w:pPr>
              <w:pStyle w:val="NoSpacing"/>
              <w:rPr>
                <w:rFonts w:asciiTheme="minorHAnsi" w:hAnsiTheme="minorHAnsi"/>
              </w:rPr>
            </w:pPr>
            <w:r w:rsidRPr="00A2277A">
              <w:rPr>
                <w:rFonts w:asciiTheme="minorHAnsi" w:hAnsiTheme="minorHAnsi"/>
                <w:color w:val="000000"/>
              </w:rPr>
              <w:t>677</w:t>
            </w:r>
          </w:p>
        </w:tc>
        <w:tc>
          <w:tcPr>
            <w:tcW w:w="907" w:type="dxa"/>
            <w:vAlign w:val="bottom"/>
          </w:tcPr>
          <w:p w:rsidR="009B2F9B" w:rsidRPr="00A2277A" w:rsidRDefault="009B2F9B" w:rsidP="0081054E">
            <w:pPr>
              <w:pStyle w:val="NoSpacing"/>
              <w:rPr>
                <w:rFonts w:asciiTheme="minorHAnsi" w:hAnsiTheme="minorHAnsi"/>
              </w:rPr>
            </w:pPr>
            <w:r w:rsidRPr="00A2277A">
              <w:rPr>
                <w:rFonts w:asciiTheme="minorHAnsi" w:hAnsiTheme="minorHAnsi"/>
                <w:color w:val="000000"/>
              </w:rPr>
              <w:t>39</w:t>
            </w:r>
          </w:p>
        </w:tc>
        <w:tc>
          <w:tcPr>
            <w:tcW w:w="711" w:type="dxa"/>
            <w:vAlign w:val="bottom"/>
          </w:tcPr>
          <w:p w:rsidR="009B2F9B" w:rsidRPr="00A2277A" w:rsidRDefault="009B2F9B" w:rsidP="0081054E">
            <w:pPr>
              <w:pStyle w:val="NoSpacing"/>
              <w:rPr>
                <w:rFonts w:asciiTheme="minorHAnsi" w:hAnsiTheme="minorHAnsi"/>
                <w:b/>
              </w:rPr>
            </w:pPr>
            <w:r w:rsidRPr="00A2277A">
              <w:rPr>
                <w:rFonts w:asciiTheme="minorHAnsi" w:hAnsiTheme="minorHAnsi"/>
                <w:b/>
                <w:color w:val="000000"/>
              </w:rPr>
              <w:t>1,357</w:t>
            </w:r>
          </w:p>
        </w:tc>
        <w:tc>
          <w:tcPr>
            <w:tcW w:w="236" w:type="dxa"/>
            <w:shd w:val="clear" w:color="auto" w:fill="000000" w:themeFill="text1"/>
          </w:tcPr>
          <w:p w:rsidR="009B2F9B" w:rsidRPr="00A2277A" w:rsidRDefault="009B2F9B" w:rsidP="0081054E">
            <w:pPr>
              <w:pStyle w:val="NoSpacing"/>
              <w:rPr>
                <w:rFonts w:asciiTheme="minorHAnsi" w:hAnsiTheme="minorHAnsi"/>
              </w:rPr>
            </w:pPr>
          </w:p>
        </w:tc>
        <w:tc>
          <w:tcPr>
            <w:tcW w:w="1422" w:type="dxa"/>
            <w:vAlign w:val="bottom"/>
          </w:tcPr>
          <w:p w:rsidR="009B2F9B" w:rsidRPr="00A2277A" w:rsidRDefault="009B2F9B" w:rsidP="0081054E">
            <w:pPr>
              <w:pStyle w:val="NoSpacing"/>
              <w:rPr>
                <w:rFonts w:asciiTheme="minorHAnsi" w:hAnsiTheme="minorHAnsi"/>
                <w:b/>
              </w:rPr>
            </w:pPr>
            <w:r w:rsidRPr="00A2277A">
              <w:rPr>
                <w:rFonts w:asciiTheme="minorHAnsi" w:hAnsiTheme="minorHAnsi"/>
                <w:b/>
                <w:color w:val="000000"/>
              </w:rPr>
              <w:t>1000-1500 kW</w:t>
            </w:r>
          </w:p>
        </w:tc>
        <w:tc>
          <w:tcPr>
            <w:tcW w:w="1116" w:type="dxa"/>
            <w:vAlign w:val="bottom"/>
          </w:tcPr>
          <w:p w:rsidR="009B2F9B" w:rsidRPr="00A2277A" w:rsidRDefault="009B2F9B" w:rsidP="0081054E">
            <w:pPr>
              <w:pStyle w:val="NoSpacing"/>
              <w:rPr>
                <w:rFonts w:asciiTheme="minorHAnsi" w:hAnsiTheme="minorHAnsi"/>
              </w:rPr>
            </w:pPr>
            <w:r w:rsidRPr="00A2277A">
              <w:rPr>
                <w:rFonts w:asciiTheme="minorHAnsi" w:hAnsiTheme="minorHAnsi"/>
                <w:color w:val="000000"/>
              </w:rPr>
              <w:t>769</w:t>
            </w:r>
          </w:p>
        </w:tc>
        <w:tc>
          <w:tcPr>
            <w:tcW w:w="621" w:type="dxa"/>
            <w:vAlign w:val="bottom"/>
          </w:tcPr>
          <w:p w:rsidR="009B2F9B" w:rsidRPr="00A2277A" w:rsidRDefault="009B2F9B" w:rsidP="0081054E">
            <w:pPr>
              <w:pStyle w:val="NoSpacing"/>
              <w:rPr>
                <w:rFonts w:asciiTheme="minorHAnsi" w:hAnsiTheme="minorHAnsi"/>
              </w:rPr>
            </w:pPr>
            <w:r w:rsidRPr="00A2277A">
              <w:rPr>
                <w:rFonts w:asciiTheme="minorHAnsi" w:hAnsiTheme="minorHAnsi"/>
                <w:color w:val="000000"/>
              </w:rPr>
              <w:t>837</w:t>
            </w:r>
          </w:p>
        </w:tc>
        <w:tc>
          <w:tcPr>
            <w:tcW w:w="907" w:type="dxa"/>
            <w:vAlign w:val="bottom"/>
          </w:tcPr>
          <w:p w:rsidR="009B2F9B" w:rsidRPr="00A2277A" w:rsidRDefault="009B2F9B" w:rsidP="0081054E">
            <w:pPr>
              <w:pStyle w:val="NoSpacing"/>
              <w:rPr>
                <w:rFonts w:asciiTheme="minorHAnsi" w:hAnsiTheme="minorHAnsi"/>
              </w:rPr>
            </w:pPr>
            <w:r w:rsidRPr="00A2277A">
              <w:rPr>
                <w:rFonts w:asciiTheme="minorHAnsi" w:hAnsiTheme="minorHAnsi"/>
                <w:color w:val="000000"/>
              </w:rPr>
              <w:t>48</w:t>
            </w:r>
          </w:p>
        </w:tc>
        <w:tc>
          <w:tcPr>
            <w:tcW w:w="711" w:type="dxa"/>
            <w:vAlign w:val="bottom"/>
          </w:tcPr>
          <w:p w:rsidR="009B2F9B" w:rsidRPr="00A2277A" w:rsidRDefault="009B2F9B" w:rsidP="0081054E">
            <w:pPr>
              <w:pStyle w:val="NoSpacing"/>
              <w:rPr>
                <w:rFonts w:asciiTheme="minorHAnsi" w:hAnsiTheme="minorHAnsi"/>
                <w:b/>
              </w:rPr>
            </w:pPr>
            <w:r w:rsidRPr="00A2277A">
              <w:rPr>
                <w:rFonts w:asciiTheme="minorHAnsi" w:hAnsiTheme="minorHAnsi"/>
                <w:b/>
                <w:color w:val="000000"/>
              </w:rPr>
              <w:t>1,654</w:t>
            </w:r>
          </w:p>
        </w:tc>
      </w:tr>
      <w:tr w:rsidR="009B2F9B" w:rsidRPr="00A2277A" w:rsidTr="00A475FE">
        <w:trPr>
          <w:trHeight w:val="144"/>
          <w:jc w:val="center"/>
        </w:trPr>
        <w:tc>
          <w:tcPr>
            <w:tcW w:w="1255" w:type="dxa"/>
            <w:vAlign w:val="bottom"/>
          </w:tcPr>
          <w:p w:rsidR="009B2F9B" w:rsidRPr="00A2277A" w:rsidRDefault="009B2F9B" w:rsidP="0081054E">
            <w:pPr>
              <w:pStyle w:val="NoSpacing"/>
              <w:rPr>
                <w:rFonts w:asciiTheme="minorHAnsi" w:hAnsiTheme="minorHAnsi"/>
                <w:b/>
              </w:rPr>
            </w:pPr>
            <w:r w:rsidRPr="00A2277A">
              <w:rPr>
                <w:rFonts w:asciiTheme="minorHAnsi" w:hAnsiTheme="minorHAnsi"/>
                <w:b/>
                <w:color w:val="000000"/>
              </w:rPr>
              <w:t>1500+ kW</w:t>
            </w:r>
          </w:p>
        </w:tc>
        <w:tc>
          <w:tcPr>
            <w:tcW w:w="1270" w:type="dxa"/>
            <w:vAlign w:val="bottom"/>
          </w:tcPr>
          <w:p w:rsidR="009B2F9B" w:rsidRPr="00A2277A" w:rsidRDefault="009B2F9B" w:rsidP="0081054E">
            <w:pPr>
              <w:pStyle w:val="NoSpacing"/>
              <w:rPr>
                <w:rFonts w:asciiTheme="minorHAnsi" w:hAnsiTheme="minorHAnsi"/>
              </w:rPr>
            </w:pPr>
            <w:r w:rsidRPr="00A2277A">
              <w:rPr>
                <w:rFonts w:asciiTheme="minorHAnsi" w:hAnsiTheme="minorHAnsi"/>
                <w:color w:val="000000"/>
              </w:rPr>
              <w:t>1,073</w:t>
            </w:r>
          </w:p>
        </w:tc>
        <w:tc>
          <w:tcPr>
            <w:tcW w:w="621" w:type="dxa"/>
            <w:vAlign w:val="bottom"/>
          </w:tcPr>
          <w:p w:rsidR="009B2F9B" w:rsidRPr="00A2277A" w:rsidRDefault="009B2F9B" w:rsidP="0081054E">
            <w:pPr>
              <w:pStyle w:val="NoSpacing"/>
              <w:rPr>
                <w:rFonts w:asciiTheme="minorHAnsi" w:hAnsiTheme="minorHAnsi"/>
              </w:rPr>
            </w:pPr>
            <w:r w:rsidRPr="00A2277A">
              <w:rPr>
                <w:rFonts w:asciiTheme="minorHAnsi" w:hAnsiTheme="minorHAnsi"/>
                <w:color w:val="000000"/>
              </w:rPr>
              <w:t>284</w:t>
            </w:r>
          </w:p>
        </w:tc>
        <w:tc>
          <w:tcPr>
            <w:tcW w:w="907" w:type="dxa"/>
            <w:vAlign w:val="bottom"/>
          </w:tcPr>
          <w:p w:rsidR="009B2F9B" w:rsidRPr="00A2277A" w:rsidRDefault="009B2F9B" w:rsidP="0081054E">
            <w:pPr>
              <w:pStyle w:val="NoSpacing"/>
              <w:rPr>
                <w:rFonts w:asciiTheme="minorHAnsi" w:hAnsiTheme="minorHAnsi"/>
              </w:rPr>
            </w:pPr>
            <w:r w:rsidRPr="00A2277A">
              <w:rPr>
                <w:rFonts w:asciiTheme="minorHAnsi" w:hAnsiTheme="minorHAnsi"/>
                <w:color w:val="000000"/>
              </w:rPr>
              <w:t>37</w:t>
            </w:r>
          </w:p>
        </w:tc>
        <w:tc>
          <w:tcPr>
            <w:tcW w:w="711" w:type="dxa"/>
            <w:vAlign w:val="bottom"/>
          </w:tcPr>
          <w:p w:rsidR="009B2F9B" w:rsidRPr="00A2277A" w:rsidRDefault="009B2F9B" w:rsidP="0081054E">
            <w:pPr>
              <w:pStyle w:val="NoSpacing"/>
              <w:rPr>
                <w:rFonts w:asciiTheme="minorHAnsi" w:hAnsiTheme="minorHAnsi"/>
                <w:b/>
              </w:rPr>
            </w:pPr>
            <w:r w:rsidRPr="00A2277A">
              <w:rPr>
                <w:rFonts w:asciiTheme="minorHAnsi" w:hAnsiTheme="minorHAnsi"/>
                <w:b/>
                <w:color w:val="000000"/>
              </w:rPr>
              <w:t>1,394</w:t>
            </w:r>
          </w:p>
        </w:tc>
        <w:tc>
          <w:tcPr>
            <w:tcW w:w="236" w:type="dxa"/>
            <w:shd w:val="clear" w:color="auto" w:fill="000000" w:themeFill="text1"/>
          </w:tcPr>
          <w:p w:rsidR="009B2F9B" w:rsidRPr="00A2277A" w:rsidRDefault="009B2F9B" w:rsidP="0081054E">
            <w:pPr>
              <w:pStyle w:val="NoSpacing"/>
              <w:rPr>
                <w:rFonts w:asciiTheme="minorHAnsi" w:hAnsiTheme="minorHAnsi"/>
              </w:rPr>
            </w:pPr>
          </w:p>
        </w:tc>
        <w:tc>
          <w:tcPr>
            <w:tcW w:w="1422" w:type="dxa"/>
            <w:vAlign w:val="bottom"/>
          </w:tcPr>
          <w:p w:rsidR="009B2F9B" w:rsidRPr="00A2277A" w:rsidRDefault="009B2F9B" w:rsidP="0081054E">
            <w:pPr>
              <w:pStyle w:val="NoSpacing"/>
              <w:rPr>
                <w:rFonts w:asciiTheme="minorHAnsi" w:hAnsiTheme="minorHAnsi"/>
                <w:b/>
              </w:rPr>
            </w:pPr>
            <w:r w:rsidRPr="00A2277A">
              <w:rPr>
                <w:rFonts w:asciiTheme="minorHAnsi" w:hAnsiTheme="minorHAnsi"/>
                <w:b/>
                <w:color w:val="000000"/>
              </w:rPr>
              <w:t>1500+ kW</w:t>
            </w:r>
          </w:p>
        </w:tc>
        <w:tc>
          <w:tcPr>
            <w:tcW w:w="1116" w:type="dxa"/>
            <w:vAlign w:val="bottom"/>
          </w:tcPr>
          <w:p w:rsidR="009B2F9B" w:rsidRPr="00A2277A" w:rsidRDefault="009B2F9B" w:rsidP="0081054E">
            <w:pPr>
              <w:pStyle w:val="NoSpacing"/>
              <w:rPr>
                <w:rFonts w:asciiTheme="minorHAnsi" w:hAnsiTheme="minorHAnsi"/>
              </w:rPr>
            </w:pPr>
            <w:r w:rsidRPr="00A2277A">
              <w:rPr>
                <w:rFonts w:asciiTheme="minorHAnsi" w:hAnsiTheme="minorHAnsi"/>
                <w:color w:val="000000"/>
              </w:rPr>
              <w:t>2,053</w:t>
            </w:r>
          </w:p>
        </w:tc>
        <w:tc>
          <w:tcPr>
            <w:tcW w:w="621" w:type="dxa"/>
            <w:vAlign w:val="bottom"/>
          </w:tcPr>
          <w:p w:rsidR="009B2F9B" w:rsidRPr="00A2277A" w:rsidRDefault="009B2F9B" w:rsidP="0081054E">
            <w:pPr>
              <w:pStyle w:val="NoSpacing"/>
              <w:rPr>
                <w:rFonts w:asciiTheme="minorHAnsi" w:hAnsiTheme="minorHAnsi"/>
              </w:rPr>
            </w:pPr>
            <w:r w:rsidRPr="00A2277A">
              <w:rPr>
                <w:rFonts w:asciiTheme="minorHAnsi" w:hAnsiTheme="minorHAnsi"/>
                <w:color w:val="000000"/>
              </w:rPr>
              <w:t>615</w:t>
            </w:r>
          </w:p>
        </w:tc>
        <w:tc>
          <w:tcPr>
            <w:tcW w:w="907" w:type="dxa"/>
            <w:vAlign w:val="bottom"/>
          </w:tcPr>
          <w:p w:rsidR="009B2F9B" w:rsidRPr="00A2277A" w:rsidRDefault="009B2F9B" w:rsidP="0081054E">
            <w:pPr>
              <w:pStyle w:val="NoSpacing"/>
              <w:rPr>
                <w:rFonts w:asciiTheme="minorHAnsi" w:hAnsiTheme="minorHAnsi"/>
              </w:rPr>
            </w:pPr>
            <w:r w:rsidRPr="00A2277A">
              <w:rPr>
                <w:rFonts w:asciiTheme="minorHAnsi" w:hAnsiTheme="minorHAnsi"/>
                <w:color w:val="000000"/>
              </w:rPr>
              <w:t>68</w:t>
            </w:r>
          </w:p>
        </w:tc>
        <w:tc>
          <w:tcPr>
            <w:tcW w:w="711" w:type="dxa"/>
            <w:vAlign w:val="bottom"/>
          </w:tcPr>
          <w:p w:rsidR="009B2F9B" w:rsidRPr="00A2277A" w:rsidRDefault="009B2F9B" w:rsidP="0081054E">
            <w:pPr>
              <w:pStyle w:val="NoSpacing"/>
              <w:rPr>
                <w:rFonts w:asciiTheme="minorHAnsi" w:hAnsiTheme="minorHAnsi"/>
                <w:b/>
              </w:rPr>
            </w:pPr>
            <w:r w:rsidRPr="00A2277A">
              <w:rPr>
                <w:rFonts w:asciiTheme="minorHAnsi" w:hAnsiTheme="minorHAnsi"/>
                <w:b/>
                <w:color w:val="000000"/>
              </w:rPr>
              <w:t>2,736</w:t>
            </w:r>
          </w:p>
        </w:tc>
      </w:tr>
      <w:tr w:rsidR="009B2F9B" w:rsidRPr="00A2277A" w:rsidTr="00A475FE">
        <w:trPr>
          <w:trHeight w:val="144"/>
          <w:jc w:val="center"/>
        </w:trPr>
        <w:tc>
          <w:tcPr>
            <w:tcW w:w="1255" w:type="dxa"/>
            <w:vAlign w:val="bottom"/>
          </w:tcPr>
          <w:p w:rsidR="009B2F9B" w:rsidRPr="00A2277A" w:rsidRDefault="009B2F9B" w:rsidP="0081054E">
            <w:pPr>
              <w:pStyle w:val="NoSpacing"/>
              <w:rPr>
                <w:rFonts w:asciiTheme="minorHAnsi" w:hAnsiTheme="minorHAnsi"/>
                <w:b/>
              </w:rPr>
            </w:pPr>
            <w:r w:rsidRPr="00A2277A">
              <w:rPr>
                <w:rFonts w:asciiTheme="minorHAnsi" w:hAnsiTheme="minorHAnsi"/>
                <w:b/>
                <w:color w:val="000000"/>
              </w:rPr>
              <w:t>Total</w:t>
            </w:r>
          </w:p>
        </w:tc>
        <w:tc>
          <w:tcPr>
            <w:tcW w:w="1270" w:type="dxa"/>
            <w:vAlign w:val="bottom"/>
          </w:tcPr>
          <w:p w:rsidR="009B2F9B" w:rsidRPr="00A2277A" w:rsidRDefault="009B2F9B" w:rsidP="0081054E">
            <w:pPr>
              <w:pStyle w:val="NoSpacing"/>
              <w:rPr>
                <w:rFonts w:asciiTheme="minorHAnsi" w:hAnsiTheme="minorHAnsi"/>
                <w:b/>
              </w:rPr>
            </w:pPr>
            <w:r w:rsidRPr="00A2277A">
              <w:rPr>
                <w:rFonts w:asciiTheme="minorHAnsi" w:hAnsiTheme="minorHAnsi"/>
                <w:b/>
                <w:color w:val="000000"/>
              </w:rPr>
              <w:t>26,884</w:t>
            </w:r>
          </w:p>
        </w:tc>
        <w:tc>
          <w:tcPr>
            <w:tcW w:w="621" w:type="dxa"/>
            <w:vAlign w:val="bottom"/>
          </w:tcPr>
          <w:p w:rsidR="009B2F9B" w:rsidRPr="00A2277A" w:rsidRDefault="009B2F9B" w:rsidP="0081054E">
            <w:pPr>
              <w:pStyle w:val="NoSpacing"/>
              <w:rPr>
                <w:rFonts w:asciiTheme="minorHAnsi" w:hAnsiTheme="minorHAnsi"/>
                <w:b/>
              </w:rPr>
            </w:pPr>
            <w:r w:rsidRPr="00A2277A">
              <w:rPr>
                <w:rFonts w:asciiTheme="minorHAnsi" w:hAnsiTheme="minorHAnsi"/>
                <w:b/>
                <w:color w:val="000000"/>
              </w:rPr>
              <w:t>6,411</w:t>
            </w:r>
          </w:p>
        </w:tc>
        <w:tc>
          <w:tcPr>
            <w:tcW w:w="907" w:type="dxa"/>
            <w:vAlign w:val="bottom"/>
          </w:tcPr>
          <w:p w:rsidR="009B2F9B" w:rsidRPr="00A2277A" w:rsidRDefault="009B2F9B" w:rsidP="0081054E">
            <w:pPr>
              <w:pStyle w:val="NoSpacing"/>
              <w:rPr>
                <w:rFonts w:asciiTheme="minorHAnsi" w:hAnsiTheme="minorHAnsi"/>
                <w:b/>
              </w:rPr>
            </w:pPr>
            <w:r w:rsidRPr="00A2277A">
              <w:rPr>
                <w:rFonts w:asciiTheme="minorHAnsi" w:hAnsiTheme="minorHAnsi"/>
                <w:b/>
                <w:color w:val="000000"/>
              </w:rPr>
              <w:t>383</w:t>
            </w:r>
          </w:p>
        </w:tc>
        <w:tc>
          <w:tcPr>
            <w:tcW w:w="711" w:type="dxa"/>
            <w:vAlign w:val="bottom"/>
          </w:tcPr>
          <w:p w:rsidR="009B2F9B" w:rsidRPr="00A2277A" w:rsidRDefault="009B2F9B" w:rsidP="0081054E">
            <w:pPr>
              <w:pStyle w:val="NoSpacing"/>
              <w:rPr>
                <w:rFonts w:asciiTheme="minorHAnsi" w:hAnsiTheme="minorHAnsi"/>
                <w:b/>
              </w:rPr>
            </w:pPr>
            <w:r w:rsidRPr="00A2277A">
              <w:rPr>
                <w:rFonts w:asciiTheme="minorHAnsi" w:hAnsiTheme="minorHAnsi"/>
                <w:b/>
                <w:color w:val="000000"/>
              </w:rPr>
              <w:t>33,678</w:t>
            </w:r>
          </w:p>
        </w:tc>
        <w:tc>
          <w:tcPr>
            <w:tcW w:w="236" w:type="dxa"/>
            <w:shd w:val="clear" w:color="auto" w:fill="000000" w:themeFill="text1"/>
          </w:tcPr>
          <w:p w:rsidR="009B2F9B" w:rsidRPr="00A2277A" w:rsidRDefault="009B2F9B" w:rsidP="0081054E">
            <w:pPr>
              <w:pStyle w:val="NoSpacing"/>
              <w:rPr>
                <w:rFonts w:asciiTheme="minorHAnsi" w:hAnsiTheme="minorHAnsi"/>
                <w:b/>
              </w:rPr>
            </w:pPr>
          </w:p>
        </w:tc>
        <w:tc>
          <w:tcPr>
            <w:tcW w:w="1422" w:type="dxa"/>
            <w:vAlign w:val="bottom"/>
          </w:tcPr>
          <w:p w:rsidR="009B2F9B" w:rsidRPr="00A2277A" w:rsidRDefault="009B2F9B" w:rsidP="0081054E">
            <w:pPr>
              <w:pStyle w:val="NoSpacing"/>
              <w:rPr>
                <w:rFonts w:asciiTheme="minorHAnsi" w:hAnsiTheme="minorHAnsi"/>
                <w:b/>
              </w:rPr>
            </w:pPr>
            <w:r w:rsidRPr="00A2277A">
              <w:rPr>
                <w:rFonts w:asciiTheme="minorHAnsi" w:hAnsiTheme="minorHAnsi"/>
                <w:b/>
                <w:color w:val="000000"/>
              </w:rPr>
              <w:t>Total</w:t>
            </w:r>
          </w:p>
        </w:tc>
        <w:tc>
          <w:tcPr>
            <w:tcW w:w="1116" w:type="dxa"/>
            <w:vAlign w:val="bottom"/>
          </w:tcPr>
          <w:p w:rsidR="009B2F9B" w:rsidRPr="00A2277A" w:rsidRDefault="009B2F9B" w:rsidP="0081054E">
            <w:pPr>
              <w:pStyle w:val="NoSpacing"/>
              <w:rPr>
                <w:rFonts w:asciiTheme="minorHAnsi" w:hAnsiTheme="minorHAnsi"/>
                <w:b/>
              </w:rPr>
            </w:pPr>
            <w:r w:rsidRPr="00A2277A">
              <w:rPr>
                <w:rFonts w:asciiTheme="minorHAnsi" w:hAnsiTheme="minorHAnsi"/>
                <w:b/>
                <w:color w:val="000000"/>
              </w:rPr>
              <w:t>8,756</w:t>
            </w:r>
          </w:p>
        </w:tc>
        <w:tc>
          <w:tcPr>
            <w:tcW w:w="621" w:type="dxa"/>
            <w:vAlign w:val="bottom"/>
          </w:tcPr>
          <w:p w:rsidR="009B2F9B" w:rsidRPr="00A2277A" w:rsidRDefault="009B2F9B" w:rsidP="0081054E">
            <w:pPr>
              <w:pStyle w:val="NoSpacing"/>
              <w:rPr>
                <w:rFonts w:asciiTheme="minorHAnsi" w:hAnsiTheme="minorHAnsi"/>
                <w:b/>
              </w:rPr>
            </w:pPr>
            <w:r w:rsidRPr="00A2277A">
              <w:rPr>
                <w:rFonts w:asciiTheme="minorHAnsi" w:hAnsiTheme="minorHAnsi"/>
                <w:b/>
                <w:color w:val="000000"/>
              </w:rPr>
              <w:t>2,805</w:t>
            </w:r>
          </w:p>
        </w:tc>
        <w:tc>
          <w:tcPr>
            <w:tcW w:w="907" w:type="dxa"/>
            <w:vAlign w:val="bottom"/>
          </w:tcPr>
          <w:p w:rsidR="009B2F9B" w:rsidRPr="00A2277A" w:rsidRDefault="009B2F9B" w:rsidP="0081054E">
            <w:pPr>
              <w:pStyle w:val="NoSpacing"/>
              <w:rPr>
                <w:rFonts w:asciiTheme="minorHAnsi" w:hAnsiTheme="minorHAnsi"/>
                <w:b/>
              </w:rPr>
            </w:pPr>
            <w:r w:rsidRPr="00A2277A">
              <w:rPr>
                <w:rFonts w:asciiTheme="minorHAnsi" w:hAnsiTheme="minorHAnsi"/>
                <w:b/>
                <w:color w:val="000000"/>
              </w:rPr>
              <w:t>211</w:t>
            </w:r>
          </w:p>
        </w:tc>
        <w:tc>
          <w:tcPr>
            <w:tcW w:w="711" w:type="dxa"/>
            <w:vAlign w:val="bottom"/>
          </w:tcPr>
          <w:p w:rsidR="009B2F9B" w:rsidRPr="00A2277A" w:rsidRDefault="009B2F9B" w:rsidP="0081054E">
            <w:pPr>
              <w:pStyle w:val="NoSpacing"/>
              <w:rPr>
                <w:rFonts w:asciiTheme="minorHAnsi" w:hAnsiTheme="minorHAnsi"/>
                <w:b/>
              </w:rPr>
            </w:pPr>
            <w:r w:rsidRPr="00A2277A">
              <w:rPr>
                <w:rFonts w:asciiTheme="minorHAnsi" w:hAnsiTheme="minorHAnsi"/>
                <w:b/>
                <w:color w:val="000000"/>
              </w:rPr>
              <w:t>11,772</w:t>
            </w:r>
          </w:p>
        </w:tc>
      </w:tr>
    </w:tbl>
    <w:p w:rsidR="009B2F9B" w:rsidRPr="00A2277A" w:rsidRDefault="009B2F9B" w:rsidP="0081054E">
      <w:pPr>
        <w:pStyle w:val="NoSpacing"/>
        <w:spacing w:before="200"/>
        <w:ind w:left="360"/>
        <w:jc w:val="both"/>
        <w:rPr>
          <w:rFonts w:asciiTheme="minorHAnsi" w:hAnsiTheme="minorHAnsi"/>
          <w:b/>
        </w:rPr>
      </w:pPr>
      <w:r w:rsidRPr="00A2277A">
        <w:rPr>
          <w:rFonts w:asciiTheme="minorHAnsi" w:hAnsiTheme="minorHAnsi"/>
        </w:rPr>
        <w:t>The NESCAUM report does not estimate emissions for all of these engines because of the significant uncertainties associated with the more general estimates of engine population and because information on actual engine operation is not available for the broader region.  Since the existing emergency engines would not have any emissions standards applied to them, there would be no reduction benefit if the OTC model rule were applied region-wide.  For the peak and baseload engines, their combined capacity would have the potential to emit about 48 tons of NO</w:t>
      </w:r>
      <w:r w:rsidRPr="00A2277A">
        <w:rPr>
          <w:rFonts w:asciiTheme="minorHAnsi" w:hAnsiTheme="minorHAnsi"/>
          <w:vertAlign w:val="subscript"/>
        </w:rPr>
        <w:t>x</w:t>
      </w:r>
      <w:r w:rsidRPr="00A2277A">
        <w:rPr>
          <w:rFonts w:asciiTheme="minorHAnsi" w:hAnsiTheme="minorHAnsi"/>
        </w:rPr>
        <w:t xml:space="preserve"> for every hour of operation (based upon the assumption of no controls on the engine and an average emission factor of 32 lb/MWh NO</w:t>
      </w:r>
      <w:r w:rsidRPr="00A2277A">
        <w:rPr>
          <w:rFonts w:asciiTheme="minorHAnsi" w:hAnsiTheme="minorHAnsi"/>
          <w:vertAlign w:val="subscript"/>
        </w:rPr>
        <w:t>x</w:t>
      </w:r>
      <w:r w:rsidRPr="00A2277A">
        <w:rPr>
          <w:rFonts w:asciiTheme="minorHAnsi" w:hAnsiTheme="minorHAnsi"/>
        </w:rPr>
        <w:t>, per AP-42).  If these peak and baseload engines were controlled, their emissions could be reduced by approximately 90%, which would result in a regional reduction of about 43 tons of NO</w:t>
      </w:r>
      <w:r w:rsidRPr="00A2277A">
        <w:rPr>
          <w:rFonts w:asciiTheme="minorHAnsi" w:hAnsiTheme="minorHAnsi"/>
          <w:vertAlign w:val="subscript"/>
        </w:rPr>
        <w:t>x</w:t>
      </w:r>
      <w:r w:rsidRPr="00A2277A">
        <w:rPr>
          <w:rFonts w:asciiTheme="minorHAnsi" w:hAnsiTheme="minorHAnsi"/>
        </w:rPr>
        <w:t xml:space="preserve"> for every hour of </w:t>
      </w:r>
      <w:r w:rsidR="0060782B">
        <w:rPr>
          <w:noProof/>
        </w:rPr>
        <mc:AlternateContent>
          <mc:Choice Requires="wps">
            <w:drawing>
              <wp:anchor distT="0" distB="0" distL="114300" distR="114300" simplePos="0" relativeHeight="251737088" behindDoc="0" locked="1" layoutInCell="1" allowOverlap="0" wp14:anchorId="37F0C09B" wp14:editId="2A19CA42">
                <wp:simplePos x="0" y="0"/>
                <wp:positionH relativeFrom="margin">
                  <wp:posOffset>2962275</wp:posOffset>
                </wp:positionH>
                <wp:positionV relativeFrom="bottomMargin">
                  <wp:posOffset>173990</wp:posOffset>
                </wp:positionV>
                <wp:extent cx="914400" cy="237490"/>
                <wp:effectExtent l="0" t="0" r="0" b="0"/>
                <wp:wrapNone/>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237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782B" w:rsidRDefault="0060782B" w:rsidP="0060782B">
                            <w:pPr>
                              <w:ind w:right="60"/>
                              <w:rPr>
                                <w:rFonts w:asciiTheme="minorHAnsi" w:hAnsiTheme="minorHAnsi"/>
                                <w:sz w:val="20"/>
                                <w:szCs w:val="20"/>
                              </w:rPr>
                            </w:pPr>
                            <w:hyperlink w:anchor="TOC" w:history="1">
                              <w:r>
                                <w:rPr>
                                  <w:rStyle w:val="Hyperlink"/>
                                  <w:sz w:val="20"/>
                                  <w:szCs w:val="20"/>
                                </w:rPr>
                                <w:t>Back to TOC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0C09B" id="Text Box 206" o:spid="_x0000_s1055" type="#_x0000_t202" style="position:absolute;left:0;text-align:left;margin-left:233.25pt;margin-top:13.7pt;width:1in;height:18.7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gq5mQIAAK4FAAAOAAAAZHJzL2Uyb0RvYy54bWysVN9P2zAQfp+0/8Hy+0j6AxgRKepATJMq&#10;QCsTz65jUwvH59luk+6v5+wkpTBemPaSnH3f3fnuvrvzi7bWZCucV2BKOjrKKRGGQ6XMY0l/3V9/&#10;+UqJD8xUTIMRJd0JTy9mnz+dN7YQY1iDroQj6MT4orElXYdgiyzzfC1q5o/ACoNKCa5mAY/uMasc&#10;a9B7rbNxnp9kDbjKOuDCe7y96pR0lvxLKXi4ldKLQHRJ8W0hfV36ruI3m52z4tExu1a8fwb7h1fU&#10;TBkMund1xQIjG6f+clUr7sCDDEcc6gykVFykHDCbUf4mm+WaWZFyweJ4uy+T/39u+c32zhFVlXSc&#10;n1BiWI1NuhdtIN+gJfEOK9RYXyBwaREaWlRgp1O23i6AP3mEZAeYzsAjOlakla6Of8yVoCE2Ybcv&#10;fIzD8fJsNJ3mqOGoGk9Op2epMdmLsXU+fBdQkyiU1GFf0wPYduFDDM+KARJjedCqulZap0PkkrjU&#10;jmwZskCHUcwJLV6htCFNSU8mx3lybCCadzhtohuR2NSHi9l2CSYp7LSIGG1+ConVTHm+E5txLsw+&#10;fkJHlMRQHzHs8S+v+ohxlwdapMhgwt64VgZc19fXJauehpLJDt/323d5xxKEdtUmGk0mA2NWUO2Q&#10;MA66ofOWXyvs3oL5cMccThk2HDdHuMWP1IDVh16iZA3uz3v3EY/kRy0lDU5tSf3vDXOCEv3D4Fgk&#10;IuGYp8P0+HSMMdyhZnWoMZv6EpASI9xRlicx4oMeROmgfsAFM49RUcUMx9glDYN4GbpdgguKi/k8&#10;gXCwLQsLs7R8mJPIzfv2gTnbEzgg829gmG9WvOFxh40NMjDfBJAqkTwWuqtq3wBcConJ/QKLW+fw&#10;nFAva3b2DAAA//8DAFBLAwQUAAYACAAAACEAwnkW3d8AAAAJAQAADwAAAGRycy9kb3ducmV2Lnht&#10;bEyPPU/DMBCGdyT+g3VILFXrpAqhSuNUCFGpHToQWLq58ZFExOfIdtvw7zkmut3Ho/eeKzeTHcQF&#10;fegdKUgXCQikxpmeWgWfH9v5CkSImoweHKGCHwywqe7vSl0Yd6V3vNSxFRxCodAKuhjHQsrQdGh1&#10;WLgRiXdfzlsdufWtNF5fOdwOcpkkubS6J77Q6RFfO2y+67NVcAjH3ezod9tZHYzcIx7e9mlU6vFh&#10;elmDiDjFfxj+9FkdKnY6uTOZIAYFWZ4/Mapg+ZyBYCBPEx6cuMhWIKtS3n5Q/QIAAP//AwBQSwEC&#10;LQAUAAYACAAAACEAtoM4kv4AAADhAQAAEwAAAAAAAAAAAAAAAAAAAAAAW0NvbnRlbnRfVHlwZXNd&#10;LnhtbFBLAQItABQABgAIAAAAIQA4/SH/1gAAAJQBAAALAAAAAAAAAAAAAAAAAC8BAABfcmVscy8u&#10;cmVsc1BLAQItABQABgAIAAAAIQD9ggq5mQIAAK4FAAAOAAAAAAAAAAAAAAAAAC4CAABkcnMvZTJv&#10;RG9jLnhtbFBLAQItABQABgAIAAAAIQDCeRbd3wAAAAkBAAAPAAAAAAAAAAAAAAAAAPMEAABkcnMv&#10;ZG93bnJldi54bWxQSwUGAAAAAAQABADzAAAA/wUAAAAA&#10;" o:allowoverlap="f" fillcolor="white [3201]" stroked="f" strokeweight=".5pt">
                <v:path arrowok="t"/>
                <v:textbox>
                  <w:txbxContent>
                    <w:p w:rsidR="0060782B" w:rsidRDefault="0060782B" w:rsidP="0060782B">
                      <w:pPr>
                        <w:ind w:right="60"/>
                        <w:rPr>
                          <w:rFonts w:asciiTheme="minorHAnsi" w:hAnsiTheme="minorHAnsi"/>
                          <w:sz w:val="20"/>
                          <w:szCs w:val="20"/>
                        </w:rPr>
                      </w:pPr>
                      <w:hyperlink w:anchor="TOC" w:history="1">
                        <w:r>
                          <w:rPr>
                            <w:rStyle w:val="Hyperlink"/>
                            <w:sz w:val="20"/>
                            <w:szCs w:val="20"/>
                          </w:rPr>
                          <w:t>Back to TOC</w:t>
                        </w:r>
                      </w:hyperlink>
                    </w:p>
                  </w:txbxContent>
                </v:textbox>
                <w10:wrap anchorx="margin" anchory="margin"/>
                <w10:anchorlock/>
              </v:shape>
            </w:pict>
          </mc:Fallback>
        </mc:AlternateContent>
      </w:r>
      <w:r w:rsidRPr="00A2277A">
        <w:rPr>
          <w:rFonts w:asciiTheme="minorHAnsi" w:hAnsiTheme="minorHAnsi"/>
        </w:rPr>
        <w:t>operation.</w:t>
      </w:r>
    </w:p>
    <w:p w:rsidR="009B2F9B" w:rsidRPr="00A2277A" w:rsidRDefault="0025362E" w:rsidP="0025362E">
      <w:pPr>
        <w:pStyle w:val="Heading3"/>
      </w:pPr>
      <w:bookmarkStart w:id="247" w:name="_Toc461020979"/>
      <w:bookmarkStart w:id="248" w:name="_Toc461025644"/>
      <w:bookmarkStart w:id="249" w:name="_Toc461025853"/>
      <w:bookmarkStart w:id="250" w:name="_Toc461027123"/>
      <w:r>
        <w:lastRenderedPageBreak/>
        <w:t>3</w:t>
      </w:r>
      <w:r w:rsidR="009B2F9B" w:rsidRPr="00A2277A">
        <w:t>.1.</w:t>
      </w:r>
      <w:r w:rsidR="009B2F9B">
        <w:t>4</w:t>
      </w:r>
      <w:r w:rsidR="009B2F9B">
        <w:tab/>
      </w:r>
      <w:r>
        <w:tab/>
      </w:r>
      <w:r w:rsidR="009B2F9B" w:rsidRPr="00A2277A">
        <w:t>Control Cost Estimate</w:t>
      </w:r>
      <w:bookmarkEnd w:id="247"/>
      <w:bookmarkEnd w:id="248"/>
      <w:bookmarkEnd w:id="249"/>
      <w:bookmarkEnd w:id="250"/>
    </w:p>
    <w:p w:rsidR="009B2F9B" w:rsidRPr="00A2277A" w:rsidRDefault="009B2F9B" w:rsidP="0081054E">
      <w:pPr>
        <w:pStyle w:val="NoSpacing"/>
        <w:ind w:left="360"/>
        <w:jc w:val="both"/>
        <w:rPr>
          <w:rFonts w:asciiTheme="minorHAnsi" w:hAnsiTheme="minorHAnsi"/>
        </w:rPr>
      </w:pPr>
      <w:r w:rsidRPr="00A2277A">
        <w:rPr>
          <w:rFonts w:asciiTheme="minorHAnsi" w:hAnsiTheme="minorHAnsi"/>
        </w:rPr>
        <w:t xml:space="preserve">Based upon one case in Delaware, the estimated cost to retrofit a 1-2 MW, 1950’s diesel generator with selective catalytic reduction (SCR) technology ranged from $39,700 to $79,700 per ton-per-day of </w:t>
      </w:r>
      <w:r w:rsidRPr="00A2277A">
        <w:rPr>
          <w:rFonts w:asciiTheme="minorHAnsi" w:hAnsiTheme="minorHAnsi"/>
          <w:snapToGrid w:val="0"/>
        </w:rPr>
        <w:t>NO</w:t>
      </w:r>
      <w:r w:rsidRPr="00A2277A">
        <w:rPr>
          <w:rFonts w:asciiTheme="minorHAnsi" w:hAnsiTheme="minorHAnsi"/>
          <w:snapToGrid w:val="0"/>
          <w:vertAlign w:val="subscript"/>
        </w:rPr>
        <w:t>x</w:t>
      </w:r>
      <w:r w:rsidRPr="00A2277A">
        <w:rPr>
          <w:rFonts w:asciiTheme="minorHAnsi" w:hAnsiTheme="minorHAnsi"/>
        </w:rPr>
        <w:t xml:space="preserve"> reduced.  As for system costs, estimates from Boulden Energy Systems in Pennsylvania run between $145,000 to $165,000 for SCR systems designed for generators between 1750 kW and 2500 kW.  Another SCR retrofit on a 1MW generator in Delaware had an estimate of $180,000 for a complete installation.</w:t>
      </w:r>
    </w:p>
    <w:p w:rsidR="009B2F9B" w:rsidRPr="00A2277A" w:rsidRDefault="0025362E" w:rsidP="0025362E">
      <w:pPr>
        <w:pStyle w:val="Heading3"/>
      </w:pPr>
      <w:bookmarkStart w:id="251" w:name="_Toc461020980"/>
      <w:bookmarkStart w:id="252" w:name="_Toc461025645"/>
      <w:bookmarkStart w:id="253" w:name="_Toc461025854"/>
      <w:bookmarkStart w:id="254" w:name="_Toc461027124"/>
      <w:r>
        <w:t>3</w:t>
      </w:r>
      <w:r w:rsidR="009B2F9B">
        <w:t>.1.5</w:t>
      </w:r>
      <w:r>
        <w:tab/>
      </w:r>
      <w:r w:rsidR="009B2F9B">
        <w:tab/>
      </w:r>
      <w:r w:rsidR="009B2F9B" w:rsidRPr="00A2277A">
        <w:t>Emissions Reduction Benefits for Other Pollutants</w:t>
      </w:r>
      <w:bookmarkEnd w:id="251"/>
      <w:bookmarkEnd w:id="252"/>
      <w:bookmarkEnd w:id="253"/>
      <w:bookmarkEnd w:id="254"/>
    </w:p>
    <w:p w:rsidR="009B2F9B" w:rsidRPr="00A2277A" w:rsidRDefault="009B2F9B" w:rsidP="0081054E">
      <w:pPr>
        <w:pStyle w:val="NoSpacing"/>
        <w:ind w:left="360"/>
        <w:jc w:val="both"/>
        <w:rPr>
          <w:rFonts w:asciiTheme="minorHAnsi" w:hAnsiTheme="minorHAnsi"/>
        </w:rPr>
      </w:pPr>
      <w:r w:rsidRPr="00A2277A">
        <w:rPr>
          <w:rFonts w:asciiTheme="minorHAnsi" w:hAnsiTheme="minorHAnsi"/>
        </w:rPr>
        <w:t xml:space="preserve">The OTC model rule includes emission standards for </w:t>
      </w:r>
      <w:r w:rsidRPr="00A2277A">
        <w:rPr>
          <w:rFonts w:asciiTheme="minorHAnsi" w:hAnsiTheme="minorHAnsi"/>
          <w:snapToGrid w:val="0"/>
        </w:rPr>
        <w:t>NO</w:t>
      </w:r>
      <w:r w:rsidRPr="00A2277A">
        <w:rPr>
          <w:rFonts w:asciiTheme="minorHAnsi" w:hAnsiTheme="minorHAnsi"/>
          <w:snapToGrid w:val="0"/>
          <w:vertAlign w:val="subscript"/>
        </w:rPr>
        <w:t>x</w:t>
      </w:r>
      <w:r w:rsidRPr="00A2277A">
        <w:rPr>
          <w:rFonts w:asciiTheme="minorHAnsi" w:hAnsiTheme="minorHAnsi"/>
        </w:rPr>
        <w:t xml:space="preserve">, NMHC, PM, and CO for non-emergency generators.  Additionally, the NSPS standards (which would apply to new, emergency generators) would include </w:t>
      </w:r>
      <w:r w:rsidRPr="00A2277A">
        <w:rPr>
          <w:rFonts w:asciiTheme="minorHAnsi" w:hAnsiTheme="minorHAnsi"/>
          <w:snapToGrid w:val="0"/>
        </w:rPr>
        <w:t>NO</w:t>
      </w:r>
      <w:r w:rsidRPr="00A2277A">
        <w:rPr>
          <w:rFonts w:asciiTheme="minorHAnsi" w:hAnsiTheme="minorHAnsi"/>
          <w:snapToGrid w:val="0"/>
          <w:vertAlign w:val="subscript"/>
        </w:rPr>
        <w:t>x</w:t>
      </w:r>
      <w:r w:rsidRPr="00A2277A">
        <w:rPr>
          <w:rFonts w:asciiTheme="minorHAnsi" w:hAnsiTheme="minorHAnsi"/>
        </w:rPr>
        <w:t>, NMHC, CO, and PM standards. If implemented, CO standards would also help control HAP emissions, via EPA’s assumption that controls for CO will help to reduce formaldehyde emissions, a major component of stationary engine emissions.</w:t>
      </w:r>
    </w:p>
    <w:p w:rsidR="009B2F9B" w:rsidRDefault="0025362E" w:rsidP="0025362E">
      <w:pPr>
        <w:pStyle w:val="Heading2"/>
      </w:pPr>
      <w:bookmarkStart w:id="255" w:name="_Toc461020981"/>
      <w:bookmarkStart w:id="256" w:name="_Toc461025646"/>
      <w:bookmarkStart w:id="257" w:name="_Toc461025855"/>
      <w:bookmarkStart w:id="258" w:name="_Toc461027125"/>
      <w:r>
        <w:t>3</w:t>
      </w:r>
      <w:r w:rsidR="009B2F9B" w:rsidRPr="00A2277A">
        <w:t>.2</w:t>
      </w:r>
      <w:r w:rsidR="009B2F9B" w:rsidRPr="00A2277A">
        <w:tab/>
      </w:r>
      <w:r w:rsidR="009B2F9B" w:rsidRPr="00B02D16">
        <w:t>New Natural Gas-Fired Boilers, Steam Generators, Process Heaters, and Water Heaters; 75,000 BTUs/hr to 5,000,000 BTUs/hr</w:t>
      </w:r>
      <w:bookmarkEnd w:id="255"/>
      <w:bookmarkEnd w:id="256"/>
      <w:bookmarkEnd w:id="257"/>
      <w:bookmarkEnd w:id="258"/>
    </w:p>
    <w:p w:rsidR="009B2F9B" w:rsidRPr="00A2277A" w:rsidRDefault="0025362E" w:rsidP="0025362E">
      <w:pPr>
        <w:pStyle w:val="Heading3"/>
      </w:pPr>
      <w:bookmarkStart w:id="259" w:name="_Toc461020982"/>
      <w:bookmarkStart w:id="260" w:name="_Toc461025647"/>
      <w:bookmarkStart w:id="261" w:name="_Toc461025856"/>
      <w:bookmarkStart w:id="262" w:name="_Toc461027126"/>
      <w:r>
        <w:t>3</w:t>
      </w:r>
      <w:r w:rsidR="009B2F9B">
        <w:t>.2.1</w:t>
      </w:r>
      <w:r w:rsidR="009B2F9B">
        <w:tab/>
      </w:r>
      <w:r>
        <w:tab/>
      </w:r>
      <w:r w:rsidR="009B2F9B" w:rsidRPr="00A2277A">
        <w:t>Federal Standards</w:t>
      </w:r>
      <w:bookmarkEnd w:id="259"/>
      <w:bookmarkEnd w:id="260"/>
      <w:bookmarkEnd w:id="261"/>
      <w:bookmarkEnd w:id="262"/>
    </w:p>
    <w:p w:rsidR="009B2F9B" w:rsidRPr="00A2277A" w:rsidRDefault="009B2F9B" w:rsidP="0081054E">
      <w:pPr>
        <w:pStyle w:val="NoSpacing"/>
        <w:ind w:left="360"/>
        <w:jc w:val="both"/>
        <w:rPr>
          <w:rFonts w:asciiTheme="minorHAnsi" w:hAnsiTheme="minorHAnsi"/>
        </w:rPr>
      </w:pPr>
      <w:r w:rsidRPr="00A2277A">
        <w:rPr>
          <w:rFonts w:asciiTheme="minorHAnsi" w:hAnsiTheme="minorHAnsi"/>
        </w:rPr>
        <w:t xml:space="preserve">There are no EPA </w:t>
      </w:r>
      <w:r w:rsidRPr="00A2277A">
        <w:rPr>
          <w:rFonts w:asciiTheme="minorHAnsi" w:hAnsiTheme="minorHAnsi"/>
          <w:snapToGrid w:val="0"/>
        </w:rPr>
        <w:t>NO</w:t>
      </w:r>
      <w:r w:rsidRPr="00A2277A">
        <w:rPr>
          <w:rFonts w:asciiTheme="minorHAnsi" w:hAnsiTheme="minorHAnsi"/>
          <w:snapToGrid w:val="0"/>
          <w:vertAlign w:val="subscript"/>
        </w:rPr>
        <w:t>x</w:t>
      </w:r>
      <w:r w:rsidRPr="00A2277A">
        <w:rPr>
          <w:rFonts w:asciiTheme="minorHAnsi" w:hAnsiTheme="minorHAnsi"/>
        </w:rPr>
        <w:t xml:space="preserve"> emission limits for individual units of this size. The only federal standards are U.S. Department of Energy (U.S. DOE) energy conservation standards (manufacturer standards) for residential water heaters, direct heating equipment and poo</w:t>
      </w:r>
      <w:r>
        <w:rPr>
          <w:rFonts w:asciiTheme="minorHAnsi" w:hAnsiTheme="minorHAnsi"/>
        </w:rPr>
        <w:t xml:space="preserve">l heaters that can be found in </w:t>
      </w:r>
      <w:r w:rsidRPr="00A2277A">
        <w:rPr>
          <w:rFonts w:asciiTheme="minorHAnsi" w:hAnsiTheme="minorHAnsi"/>
        </w:rPr>
        <w:t xml:space="preserve">10 CFR 430. </w:t>
      </w:r>
    </w:p>
    <w:p w:rsidR="009B2F9B" w:rsidRPr="00A2277A" w:rsidRDefault="0025362E" w:rsidP="0025362E">
      <w:pPr>
        <w:pStyle w:val="Heading3"/>
      </w:pPr>
      <w:bookmarkStart w:id="263" w:name="_Toc461020983"/>
      <w:bookmarkStart w:id="264" w:name="_Toc461025648"/>
      <w:bookmarkStart w:id="265" w:name="_Toc461025857"/>
      <w:bookmarkStart w:id="266" w:name="_Toc461027127"/>
      <w:r>
        <w:t>3</w:t>
      </w:r>
      <w:r w:rsidR="009B2F9B">
        <w:t>.2.2</w:t>
      </w:r>
      <w:r>
        <w:tab/>
      </w:r>
      <w:r w:rsidR="009B2F9B">
        <w:tab/>
      </w:r>
      <w:r w:rsidR="009B2F9B" w:rsidRPr="00A2277A">
        <w:t>The OTC Measure</w:t>
      </w:r>
      <w:bookmarkEnd w:id="263"/>
      <w:bookmarkEnd w:id="264"/>
      <w:bookmarkEnd w:id="265"/>
      <w:bookmarkEnd w:id="266"/>
    </w:p>
    <w:p w:rsidR="009B2F9B" w:rsidRDefault="009B2F9B" w:rsidP="001B265F">
      <w:pPr>
        <w:pStyle w:val="NoSpacing"/>
        <w:spacing w:after="200"/>
        <w:ind w:left="360"/>
        <w:jc w:val="both"/>
        <w:rPr>
          <w:rFonts w:asciiTheme="minorHAnsi" w:hAnsiTheme="minorHAnsi"/>
        </w:rPr>
      </w:pPr>
      <w:r w:rsidRPr="00A2277A">
        <w:rPr>
          <w:rFonts w:asciiTheme="minorHAnsi" w:hAnsiTheme="minorHAnsi"/>
          <w:bCs/>
        </w:rPr>
        <w:t xml:space="preserve">The provisions of this </w:t>
      </w:r>
      <w:r w:rsidRPr="00A2277A">
        <w:rPr>
          <w:rFonts w:asciiTheme="minorHAnsi" w:hAnsiTheme="minorHAnsi"/>
        </w:rPr>
        <w:t>OTC model rule</w:t>
      </w:r>
      <w:r w:rsidRPr="00A2277A">
        <w:rPr>
          <w:rFonts w:asciiTheme="minorHAnsi" w:hAnsiTheme="minorHAnsi"/>
          <w:bCs/>
        </w:rPr>
        <w:t xml:space="preserve"> limit</w:t>
      </w:r>
      <w:r w:rsidRPr="00A2277A">
        <w:rPr>
          <w:rFonts w:asciiTheme="minorHAnsi" w:hAnsiTheme="minorHAnsi"/>
        </w:rPr>
        <w:t xml:space="preserve"> </w:t>
      </w:r>
      <w:r w:rsidRPr="00A2277A">
        <w:rPr>
          <w:rFonts w:asciiTheme="minorHAnsi" w:hAnsiTheme="minorHAnsi"/>
          <w:snapToGrid w:val="0"/>
        </w:rPr>
        <w:t>NO</w:t>
      </w:r>
      <w:r w:rsidRPr="00A2277A">
        <w:rPr>
          <w:rFonts w:asciiTheme="minorHAnsi" w:hAnsiTheme="minorHAnsi"/>
          <w:snapToGrid w:val="0"/>
          <w:vertAlign w:val="subscript"/>
        </w:rPr>
        <w:t>x</w:t>
      </w:r>
      <w:r w:rsidRPr="00A2277A">
        <w:rPr>
          <w:rFonts w:asciiTheme="minorHAnsi" w:hAnsiTheme="minorHAnsi"/>
        </w:rPr>
        <w:t xml:space="preserve"> emissions from </w:t>
      </w:r>
      <w:r w:rsidRPr="003F3964">
        <w:rPr>
          <w:rFonts w:asciiTheme="minorHAnsi" w:hAnsiTheme="minorHAnsi"/>
          <w:b/>
          <w:bCs/>
        </w:rPr>
        <w:t>new</w:t>
      </w:r>
      <w:r w:rsidRPr="00A2277A">
        <w:rPr>
          <w:rFonts w:asciiTheme="minorHAnsi" w:hAnsiTheme="minorHAnsi"/>
          <w:bCs/>
        </w:rPr>
        <w:t>, small</w:t>
      </w:r>
      <w:r w:rsidRPr="00A2277A">
        <w:rPr>
          <w:rFonts w:asciiTheme="minorHAnsi" w:hAnsiTheme="minorHAnsi"/>
        </w:rPr>
        <w:t xml:space="preserve">, </w:t>
      </w:r>
      <w:r w:rsidRPr="00A2277A">
        <w:rPr>
          <w:rFonts w:asciiTheme="minorHAnsi" w:hAnsiTheme="minorHAnsi"/>
          <w:bCs/>
        </w:rPr>
        <w:t>natural gas-fired</w:t>
      </w:r>
      <w:r w:rsidRPr="00A2277A">
        <w:rPr>
          <w:rFonts w:asciiTheme="minorHAnsi" w:hAnsiTheme="minorHAnsi"/>
        </w:rPr>
        <w:t>, industrial, commercial</w:t>
      </w:r>
      <w:r>
        <w:rPr>
          <w:rFonts w:asciiTheme="minorHAnsi" w:hAnsiTheme="minorHAnsi"/>
        </w:rPr>
        <w:t>,</w:t>
      </w:r>
      <w:r w:rsidRPr="00A2277A">
        <w:rPr>
          <w:rFonts w:asciiTheme="minorHAnsi" w:hAnsiTheme="minorHAnsi"/>
        </w:rPr>
        <w:t xml:space="preserve"> institutional </w:t>
      </w:r>
      <w:r>
        <w:rPr>
          <w:rFonts w:asciiTheme="minorHAnsi" w:hAnsiTheme="minorHAnsi"/>
        </w:rPr>
        <w:t>and residential boilers</w:t>
      </w:r>
      <w:r w:rsidRPr="00A2277A">
        <w:rPr>
          <w:rFonts w:asciiTheme="minorHAnsi" w:hAnsiTheme="minorHAnsi"/>
        </w:rPr>
        <w:t>, steam generators, process heaters, and water heaters</w:t>
      </w:r>
      <w:r>
        <w:rPr>
          <w:rFonts w:asciiTheme="minorHAnsi" w:hAnsiTheme="minorHAnsi"/>
        </w:rPr>
        <w:t>,</w:t>
      </w:r>
      <w:r w:rsidRPr="00A2277A">
        <w:rPr>
          <w:rFonts w:asciiTheme="minorHAnsi" w:hAnsiTheme="minorHAnsi"/>
        </w:rPr>
        <w:t xml:space="preserve"> </w:t>
      </w:r>
      <w:r w:rsidRPr="0087657C">
        <w:rPr>
          <w:rFonts w:asciiTheme="minorHAnsi" w:hAnsiTheme="minorHAnsi"/>
        </w:rPr>
        <w:t>75,000 BTUs/hr to 5,000,000 BTUs/hr</w:t>
      </w:r>
      <w:r>
        <w:rPr>
          <w:rFonts w:asciiTheme="minorHAnsi" w:hAnsiTheme="minorHAnsi"/>
        </w:rPr>
        <w:t>.  Manufacturers generally comply with the rule</w:t>
      </w:r>
      <w:r w:rsidRPr="0087657C">
        <w:rPr>
          <w:rFonts w:asciiTheme="minorHAnsi" w:hAnsiTheme="minorHAnsi"/>
        </w:rPr>
        <w:t xml:space="preserve"> </w:t>
      </w:r>
      <w:r w:rsidRPr="00A2277A">
        <w:rPr>
          <w:rFonts w:asciiTheme="minorHAnsi" w:hAnsiTheme="minorHAnsi"/>
        </w:rPr>
        <w:t xml:space="preserve">by using ultra low </w:t>
      </w:r>
      <w:r w:rsidRPr="00A2277A">
        <w:rPr>
          <w:rFonts w:asciiTheme="minorHAnsi" w:hAnsiTheme="minorHAnsi"/>
          <w:snapToGrid w:val="0"/>
        </w:rPr>
        <w:t>NO</w:t>
      </w:r>
      <w:r w:rsidRPr="00A2277A">
        <w:rPr>
          <w:rFonts w:asciiTheme="minorHAnsi" w:hAnsiTheme="minorHAnsi"/>
          <w:snapToGrid w:val="0"/>
          <w:vertAlign w:val="subscript"/>
        </w:rPr>
        <w:t>x</w:t>
      </w:r>
      <w:r w:rsidRPr="00A2277A">
        <w:rPr>
          <w:rFonts w:asciiTheme="minorHAnsi" w:hAnsiTheme="minorHAnsi"/>
        </w:rPr>
        <w:t xml:space="preserve"> burners (ULNBs) to control emissions.</w:t>
      </w:r>
    </w:p>
    <w:p w:rsidR="009B2F9B" w:rsidRPr="00A2277A" w:rsidRDefault="009B2F9B" w:rsidP="001B265F">
      <w:pPr>
        <w:pStyle w:val="NoSpacing"/>
        <w:spacing w:after="200"/>
        <w:ind w:left="360"/>
        <w:jc w:val="both"/>
        <w:rPr>
          <w:rFonts w:asciiTheme="minorHAnsi" w:hAnsiTheme="minorHAnsi"/>
          <w:bCs/>
        </w:rPr>
      </w:pPr>
      <w:r w:rsidRPr="00A2277A">
        <w:rPr>
          <w:rFonts w:asciiTheme="minorHAnsi" w:hAnsiTheme="minorHAnsi"/>
          <w:bCs/>
        </w:rPr>
        <w:t xml:space="preserve">This model rule contains specific NOx emission limits for three sizes (three types) of units ranging from 75,000 Btu per hour heat input up to 5.0 million Btu per hour heat input.  On June 3, 2010, the OTC adopted a Resolution, wherein member states agreed to pursue, as necessary and appropriate, state-specific rulemakings to update state rules in accordance with </w:t>
      </w:r>
      <w:r>
        <w:rPr>
          <w:rFonts w:asciiTheme="minorHAnsi" w:hAnsiTheme="minorHAnsi"/>
          <w:bCs/>
        </w:rPr>
        <w:t>this m</w:t>
      </w:r>
      <w:r w:rsidRPr="00A2277A">
        <w:rPr>
          <w:rFonts w:asciiTheme="minorHAnsi" w:hAnsiTheme="minorHAnsi"/>
          <w:bCs/>
        </w:rPr>
        <w:t xml:space="preserve">odel </w:t>
      </w:r>
      <w:r>
        <w:rPr>
          <w:rFonts w:asciiTheme="minorHAnsi" w:hAnsiTheme="minorHAnsi"/>
          <w:bCs/>
        </w:rPr>
        <w:t>r</w:t>
      </w:r>
      <w:r w:rsidRPr="00A2277A">
        <w:rPr>
          <w:rFonts w:asciiTheme="minorHAnsi" w:hAnsiTheme="minorHAnsi"/>
          <w:bCs/>
        </w:rPr>
        <w:t>ule.</w:t>
      </w:r>
      <w:r>
        <w:rPr>
          <w:rFonts w:asciiTheme="minorHAnsi" w:hAnsiTheme="minorHAnsi"/>
          <w:bCs/>
        </w:rPr>
        <w:t xml:space="preserve">   The rule was updated by the OTC workgroup on August 31, 2011.</w:t>
      </w:r>
    </w:p>
    <w:p w:rsidR="009B2F9B" w:rsidRDefault="009B2F9B" w:rsidP="001B265F">
      <w:pPr>
        <w:autoSpaceDE w:val="0"/>
        <w:autoSpaceDN w:val="0"/>
        <w:adjustRightInd w:val="0"/>
        <w:spacing w:after="200" w:line="240" w:lineRule="auto"/>
        <w:ind w:left="360"/>
        <w:jc w:val="both"/>
        <w:rPr>
          <w:rFonts w:asciiTheme="minorHAnsi" w:hAnsiTheme="minorHAnsi"/>
        </w:rPr>
      </w:pPr>
      <w:r w:rsidRPr="008F4ED4">
        <w:rPr>
          <w:rFonts w:asciiTheme="minorHAnsi" w:hAnsiTheme="minorHAnsi"/>
        </w:rPr>
        <w:t xml:space="preserve">The emission limits of this model rule </w:t>
      </w:r>
      <w:r>
        <w:rPr>
          <w:rFonts w:asciiTheme="minorHAnsi" w:hAnsiTheme="minorHAnsi"/>
        </w:rPr>
        <w:t>were</w:t>
      </w:r>
      <w:r w:rsidRPr="008F4ED4">
        <w:rPr>
          <w:rFonts w:asciiTheme="minorHAnsi" w:hAnsiTheme="minorHAnsi"/>
        </w:rPr>
        <w:t xml:space="preserve"> developed from requirements in effect in certain jurisdictions, including:  (1) San Joaquin Valley Air Pollution Control District Rule 4308 for boilers, steam generators, process heaters and water heaters with maximum rated  heat input capacity equal to or greater than 75,000 Btu/hr and up to but less than 2.0 million Btu/hr; (2) San Joaquin Valley Air Pollution Control District Rule 4307 for gas-fired and liquid fuel-fired boilers, steam generators, and process heaters with maximum rated capacity of  2.0 </w:t>
      </w:r>
      <w:r w:rsidR="0060782B">
        <w:rPr>
          <w:noProof/>
        </w:rPr>
        <mc:AlternateContent>
          <mc:Choice Requires="wps">
            <w:drawing>
              <wp:anchor distT="0" distB="0" distL="114300" distR="114300" simplePos="0" relativeHeight="251739136" behindDoc="0" locked="1" layoutInCell="1" allowOverlap="0" wp14:anchorId="37F0C09B" wp14:editId="2A19CA42">
                <wp:simplePos x="0" y="0"/>
                <wp:positionH relativeFrom="margin">
                  <wp:posOffset>2790825</wp:posOffset>
                </wp:positionH>
                <wp:positionV relativeFrom="bottomMargin">
                  <wp:posOffset>179705</wp:posOffset>
                </wp:positionV>
                <wp:extent cx="914400" cy="237490"/>
                <wp:effectExtent l="0" t="0" r="0" b="0"/>
                <wp:wrapNone/>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237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782B" w:rsidRDefault="0060782B" w:rsidP="0060782B">
                            <w:pPr>
                              <w:ind w:right="60"/>
                              <w:rPr>
                                <w:rFonts w:asciiTheme="minorHAnsi" w:hAnsiTheme="minorHAnsi"/>
                                <w:sz w:val="20"/>
                                <w:szCs w:val="20"/>
                              </w:rPr>
                            </w:pPr>
                            <w:hyperlink w:anchor="TOC" w:history="1">
                              <w:r>
                                <w:rPr>
                                  <w:rStyle w:val="Hyperlink"/>
                                  <w:sz w:val="20"/>
                                  <w:szCs w:val="20"/>
                                </w:rPr>
                                <w:t>Back to TOC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0C09B" id="Text Box 207" o:spid="_x0000_s1056" type="#_x0000_t202" style="position:absolute;left:0;text-align:left;margin-left:219.75pt;margin-top:14.15pt;width:1in;height:18.7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OoKmQIAAK4FAAAOAAAAZHJzL2Uyb0RvYy54bWysVFFP2zAQfp+0/2D5fSQtBUbUFHUgpkkV&#10;oMHEs+vYrYXj82y3SffrOTtJKYwXpr0kZ993d76772560daabIXzCkxJR0c5JcJwqJRZlfTXw/WX&#10;r5T4wEzFNBhR0p3w9GL2+dO0sYUYwxp0JRxBJ8YXjS3pOgRbZJnna1EzfwRWGFRKcDULeHSrrHKs&#10;Qe+1zsZ5fpo14CrrgAvv8faqU9JZ8i+l4OFWSi8C0SXFt4X0dem7jN9sNmXFyjG7Vrx/BvuHV9RM&#10;GQy6d3XFAiMbp/5yVSvuwIMMRxzqDKRUXKQcMJtR/iab+zWzIuWCxfF2Xyb//9zym+2dI6oq6Tg/&#10;o8SwGpv0INpAvkFL4h1WqLG+QOC9RWhoUYGdTtl6uwD+5BGSHWA6A4/oWJFWujr+MVeChtiE3b7w&#10;MQ7Hy/PRZJKjhqNqfHw2OU+NyV6MrfPhu4CaRKGkDvuaHsC2Cx9ieFYMkBjLg1bVtdI6HSKXxKV2&#10;ZMuQBTqMYk5o8QqlDWlKenp8kifHBqJ5h9MmuhGJTX24mG2XYJLCTouI0eankFjNlOc7sRnnwuzj&#10;J3RESQz1EcMe//Kqjxh3eaBFigwm7I1rZcB1fX1dsuppKJns8H2/fZd3LEFol22i0fFkYMwSqh0S&#10;xkE3dN7ya4XdWzAf7pjDKcOG4+YIt/iRGrD60EuUrMH9ee8+4pH8qKWkwaktqf+9YU5Qon8YHItE&#10;JBzzdJicnI0xhjvULA81ZlNfAlJihDvK8iRGfNCDKB3Uj7hg5jEqqpjhGLukYRAvQ7dLcEFxMZ8n&#10;EA62ZWFh7i0f5iRy86F9ZM72BA7I/BsY5psVb3jcYWODDMw3AaRKJI+F7qraNwCXQmJyv8Di1jk8&#10;J9TLmp09AwAA//8DAFBLAwQUAAYACAAAACEAZHoWX+AAAAAJAQAADwAAAGRycy9kb3ducmV2Lnht&#10;bEyPwU7DMAyG70i8Q2QkLhNLt9JRStMJISZthx0oXHbLGtNWNE6VZFt5e8wJjrY//f7+cj3ZQZzR&#10;h96RgsU8AYHUONNTq+DjfXOXgwhRk9GDI1TwjQHW1fVVqQvjLvSG5zq2gkMoFFpBF+NYSBmaDq0O&#10;czci8e3Teasjj76VxusLh9tBLpNkJa3uiT90esSXDpuv+mQV7MNhOzv47WZWByN3iPvX3SIqdXsz&#10;PT+BiDjFPxh+9VkdKnY6uhOZIAYF9+ljxqiCZZ6CYCDLU14cFayyB5BVKf83qH4AAAD//wMAUEsB&#10;Ai0AFAAGAAgAAAAhALaDOJL+AAAA4QEAABMAAAAAAAAAAAAAAAAAAAAAAFtDb250ZW50X1R5cGVz&#10;XS54bWxQSwECLQAUAAYACAAAACEAOP0h/9YAAACUAQAACwAAAAAAAAAAAAAAAAAvAQAAX3JlbHMv&#10;LnJlbHNQSwECLQAUAAYACAAAACEAFOTqCpkCAACuBQAADgAAAAAAAAAAAAAAAAAuAgAAZHJzL2Uy&#10;b0RvYy54bWxQSwECLQAUAAYACAAAACEAZHoWX+AAAAAJAQAADwAAAAAAAAAAAAAAAADzBAAAZHJz&#10;L2Rvd25yZXYueG1sUEsFBgAAAAAEAAQA8wAAAAAGAAAAAA==&#10;" o:allowoverlap="f" fillcolor="white [3201]" stroked="f" strokeweight=".5pt">
                <v:path arrowok="t"/>
                <v:textbox>
                  <w:txbxContent>
                    <w:p w:rsidR="0060782B" w:rsidRDefault="0060782B" w:rsidP="0060782B">
                      <w:pPr>
                        <w:ind w:right="60"/>
                        <w:rPr>
                          <w:rFonts w:asciiTheme="minorHAnsi" w:hAnsiTheme="minorHAnsi"/>
                          <w:sz w:val="20"/>
                          <w:szCs w:val="20"/>
                        </w:rPr>
                      </w:pPr>
                      <w:hyperlink w:anchor="TOC" w:history="1">
                        <w:r>
                          <w:rPr>
                            <w:rStyle w:val="Hyperlink"/>
                            <w:sz w:val="20"/>
                            <w:szCs w:val="20"/>
                          </w:rPr>
                          <w:t>Back to TOC</w:t>
                        </w:r>
                      </w:hyperlink>
                    </w:p>
                  </w:txbxContent>
                </v:textbox>
                <w10:wrap anchorx="margin" anchory="margin"/>
                <w10:anchorlock/>
              </v:shape>
            </w:pict>
          </mc:Fallback>
        </mc:AlternateContent>
      </w:r>
      <w:r w:rsidRPr="008F4ED4">
        <w:rPr>
          <w:rFonts w:asciiTheme="minorHAnsi" w:hAnsiTheme="minorHAnsi"/>
        </w:rPr>
        <w:t>million Btu/hr up to and including 5.0 million Btu/hr; (3)</w:t>
      </w:r>
      <w:r>
        <w:rPr>
          <w:rFonts w:asciiTheme="minorHAnsi" w:hAnsiTheme="minorHAnsi"/>
        </w:rPr>
        <w:t xml:space="preserve"> South Coast Air Quality Management </w:t>
      </w:r>
      <w:r>
        <w:rPr>
          <w:rFonts w:asciiTheme="minorHAnsi" w:hAnsiTheme="minorHAnsi"/>
        </w:rPr>
        <w:lastRenderedPageBreak/>
        <w:t xml:space="preserve">District (SCAQMD) Rules 1146.1 and 1146.2 and other </w:t>
      </w:r>
      <w:r w:rsidRPr="008F4ED4">
        <w:rPr>
          <w:rFonts w:asciiTheme="minorHAnsi" w:hAnsiTheme="minorHAnsi"/>
        </w:rPr>
        <w:t>similar rules adopted by other California Air Pollution Control Districts and the State of Texas.</w:t>
      </w:r>
    </w:p>
    <w:p w:rsidR="009B2F9B" w:rsidRDefault="009B2F9B" w:rsidP="0081054E">
      <w:pPr>
        <w:spacing w:before="200" w:after="120" w:line="240" w:lineRule="auto"/>
        <w:ind w:left="360"/>
        <w:jc w:val="both"/>
        <w:rPr>
          <w:rFonts w:asciiTheme="minorHAnsi" w:hAnsiTheme="minorHAnsi"/>
        </w:rPr>
      </w:pPr>
      <w:r>
        <w:rPr>
          <w:rFonts w:asciiTheme="minorHAnsi" w:hAnsiTheme="minorHAnsi"/>
        </w:rPr>
        <w:t>T</w:t>
      </w:r>
      <w:r w:rsidRPr="00A2277A">
        <w:rPr>
          <w:rFonts w:asciiTheme="minorHAnsi" w:hAnsiTheme="minorHAnsi"/>
        </w:rPr>
        <w:t>he OTC model rule</w:t>
      </w:r>
      <w:r>
        <w:rPr>
          <w:rFonts w:asciiTheme="minorHAnsi" w:hAnsiTheme="minorHAnsi"/>
        </w:rPr>
        <w:t xml:space="preserve"> NOx limits</w:t>
      </w:r>
      <w:r w:rsidRPr="00A2277A">
        <w:rPr>
          <w:rFonts w:asciiTheme="minorHAnsi" w:hAnsiTheme="minorHAnsi"/>
        </w:rPr>
        <w:t xml:space="preserve"> appl</w:t>
      </w:r>
      <w:r>
        <w:rPr>
          <w:rFonts w:asciiTheme="minorHAnsi" w:hAnsiTheme="minorHAnsi"/>
        </w:rPr>
        <w:t>y</w:t>
      </w:r>
      <w:r w:rsidRPr="00A2277A">
        <w:rPr>
          <w:rFonts w:asciiTheme="minorHAnsi" w:hAnsiTheme="minorHAnsi"/>
        </w:rPr>
        <w:t xml:space="preserve"> to any person who</w:t>
      </w:r>
      <w:r>
        <w:rPr>
          <w:rFonts w:asciiTheme="minorHAnsi" w:hAnsiTheme="minorHAnsi"/>
        </w:rPr>
        <w:t xml:space="preserve"> </w:t>
      </w:r>
      <w:r w:rsidRPr="008F4ED4">
        <w:rPr>
          <w:rFonts w:asciiTheme="minorHAnsi" w:hAnsiTheme="minorHAnsi"/>
        </w:rPr>
        <w:t xml:space="preserve">manufactures, distributes, supplies or imports for sale, lease or rent in (State), sells or offers for sale in (State), installs or solicits the installation of in (State), any </w:t>
      </w:r>
      <w:r w:rsidRPr="003F3964">
        <w:rPr>
          <w:rFonts w:asciiTheme="minorHAnsi" w:hAnsiTheme="minorHAnsi"/>
          <w:b/>
        </w:rPr>
        <w:t xml:space="preserve">new </w:t>
      </w:r>
      <w:r w:rsidRPr="008F4ED4">
        <w:rPr>
          <w:rFonts w:asciiTheme="minorHAnsi" w:hAnsiTheme="minorHAnsi"/>
        </w:rPr>
        <w:t>or replacement natural gas-fired boiler</w:t>
      </w:r>
      <w:r>
        <w:rPr>
          <w:rFonts w:asciiTheme="minorHAnsi" w:hAnsiTheme="minorHAnsi"/>
        </w:rPr>
        <w:t xml:space="preserve">.  </w:t>
      </w:r>
      <w:r w:rsidRPr="00A2277A">
        <w:rPr>
          <w:rFonts w:asciiTheme="minorHAnsi" w:hAnsiTheme="minorHAnsi"/>
        </w:rPr>
        <w:t>Th</w:t>
      </w:r>
      <w:r>
        <w:rPr>
          <w:rFonts w:asciiTheme="minorHAnsi" w:hAnsiTheme="minorHAnsi"/>
        </w:rPr>
        <w:t>e</w:t>
      </w:r>
      <w:r w:rsidRPr="00A2277A">
        <w:rPr>
          <w:rFonts w:asciiTheme="minorHAnsi" w:hAnsiTheme="minorHAnsi"/>
        </w:rPr>
        <w:t xml:space="preserve"> OTC model rule </w:t>
      </w:r>
      <w:r>
        <w:rPr>
          <w:rFonts w:asciiTheme="minorHAnsi" w:hAnsiTheme="minorHAnsi"/>
        </w:rPr>
        <w:t>regulates</w:t>
      </w:r>
      <w:r w:rsidRPr="00A2277A">
        <w:rPr>
          <w:rFonts w:asciiTheme="minorHAnsi" w:hAnsiTheme="minorHAnsi"/>
        </w:rPr>
        <w:t xml:space="preserve"> small boilers, steam generators, process heaters, and water heaters by size as follows:</w:t>
      </w:r>
    </w:p>
    <w:p w:rsidR="009B2F9B" w:rsidRPr="00A2277A" w:rsidRDefault="009B2F9B" w:rsidP="0081054E">
      <w:pPr>
        <w:pStyle w:val="ListParagraph"/>
        <w:numPr>
          <w:ilvl w:val="0"/>
          <w:numId w:val="10"/>
        </w:numPr>
        <w:spacing w:after="0" w:line="240" w:lineRule="auto"/>
        <w:ind w:left="1260" w:hanging="360"/>
        <w:contextualSpacing w:val="0"/>
        <w:jc w:val="both"/>
      </w:pPr>
      <w:r w:rsidRPr="00A2277A">
        <w:t xml:space="preserve">Type 1 unit – maximum rated heat input capacity greater than or equal to 75,000 Btu/hr, but no more than 400,000 Btu/hr; </w:t>
      </w:r>
    </w:p>
    <w:p w:rsidR="009B2F9B" w:rsidRPr="00D71A89" w:rsidRDefault="009B2F9B" w:rsidP="0081054E">
      <w:pPr>
        <w:pStyle w:val="ListParagraph"/>
        <w:numPr>
          <w:ilvl w:val="0"/>
          <w:numId w:val="10"/>
        </w:numPr>
        <w:spacing w:after="0" w:line="240" w:lineRule="auto"/>
        <w:ind w:left="1260" w:hanging="360"/>
        <w:contextualSpacing w:val="0"/>
        <w:jc w:val="both"/>
      </w:pPr>
      <w:r w:rsidRPr="00D71A89">
        <w:t>Type 2 unit – maximum rated heat input capacity greater than 400,000 Btu/hr but less than 2.0 million Btu/hr; and</w:t>
      </w:r>
    </w:p>
    <w:p w:rsidR="009B2F9B" w:rsidRDefault="009B2F9B" w:rsidP="0081054E">
      <w:pPr>
        <w:pStyle w:val="ListParagraph"/>
        <w:numPr>
          <w:ilvl w:val="0"/>
          <w:numId w:val="10"/>
        </w:numPr>
        <w:spacing w:after="0" w:line="240" w:lineRule="auto"/>
        <w:ind w:left="1260" w:hanging="360"/>
        <w:contextualSpacing w:val="0"/>
        <w:jc w:val="both"/>
      </w:pPr>
      <w:r w:rsidRPr="00D71A89">
        <w:t>Type 3 unit – maximum rated heat input capacity of 2.0 million Btu/hr up to and including 5.0 million Btu/hr</w:t>
      </w:r>
    </w:p>
    <w:p w:rsidR="009B2F9B" w:rsidRPr="00D71A89" w:rsidRDefault="009B2F9B" w:rsidP="0081054E">
      <w:pPr>
        <w:pStyle w:val="ListParagraph"/>
        <w:spacing w:line="240" w:lineRule="auto"/>
        <w:ind w:left="1260"/>
        <w:jc w:val="both"/>
      </w:pPr>
    </w:p>
    <w:p w:rsidR="009B2F9B" w:rsidRPr="00A2277A" w:rsidRDefault="009B2F9B" w:rsidP="0081054E">
      <w:pPr>
        <w:pStyle w:val="PlainText"/>
        <w:ind w:left="360"/>
        <w:rPr>
          <w:rFonts w:asciiTheme="minorHAnsi" w:hAnsiTheme="minorHAnsi"/>
          <w:sz w:val="24"/>
          <w:szCs w:val="24"/>
        </w:rPr>
      </w:pPr>
      <w:r w:rsidRPr="00A2277A">
        <w:rPr>
          <w:rFonts w:asciiTheme="minorHAnsi" w:hAnsiTheme="minorHAnsi"/>
          <w:sz w:val="24"/>
          <w:szCs w:val="24"/>
        </w:rPr>
        <w:t>The OTC model rule does not apply to the following units:</w:t>
      </w:r>
    </w:p>
    <w:p w:rsidR="009B2F9B" w:rsidRPr="00A2277A" w:rsidRDefault="009B2F9B" w:rsidP="0081054E">
      <w:pPr>
        <w:pStyle w:val="PlainText"/>
        <w:numPr>
          <w:ilvl w:val="0"/>
          <w:numId w:val="20"/>
        </w:numPr>
        <w:ind w:left="1260" w:hanging="360"/>
        <w:rPr>
          <w:rFonts w:asciiTheme="minorHAnsi" w:hAnsiTheme="minorHAnsi"/>
          <w:sz w:val="24"/>
          <w:szCs w:val="24"/>
        </w:rPr>
      </w:pPr>
      <w:r w:rsidRPr="00A2277A">
        <w:rPr>
          <w:rFonts w:asciiTheme="minorHAnsi" w:hAnsiTheme="minorHAnsi"/>
          <w:sz w:val="24"/>
          <w:szCs w:val="24"/>
        </w:rPr>
        <w:t>Units using a fuel other than natural gas;</w:t>
      </w:r>
    </w:p>
    <w:p w:rsidR="009B2F9B" w:rsidRPr="00A2277A" w:rsidRDefault="009B2F9B" w:rsidP="0081054E">
      <w:pPr>
        <w:pStyle w:val="PlainText"/>
        <w:numPr>
          <w:ilvl w:val="0"/>
          <w:numId w:val="20"/>
        </w:numPr>
        <w:ind w:left="1260" w:hanging="360"/>
        <w:rPr>
          <w:rFonts w:asciiTheme="minorHAnsi" w:hAnsiTheme="minorHAnsi"/>
          <w:sz w:val="24"/>
          <w:szCs w:val="24"/>
        </w:rPr>
      </w:pPr>
      <w:r w:rsidRPr="00A2277A">
        <w:rPr>
          <w:rFonts w:asciiTheme="minorHAnsi" w:hAnsiTheme="minorHAnsi"/>
          <w:sz w:val="24"/>
          <w:szCs w:val="24"/>
        </w:rPr>
        <w:t>Units used in recreational vehicles;</w:t>
      </w:r>
    </w:p>
    <w:p w:rsidR="009B2F9B" w:rsidRPr="00A2277A" w:rsidRDefault="009B2F9B" w:rsidP="0081054E">
      <w:pPr>
        <w:pStyle w:val="PlainText"/>
        <w:numPr>
          <w:ilvl w:val="0"/>
          <w:numId w:val="20"/>
        </w:numPr>
        <w:ind w:left="1260" w:hanging="360"/>
        <w:rPr>
          <w:rFonts w:asciiTheme="minorHAnsi" w:hAnsiTheme="minorHAnsi"/>
          <w:sz w:val="24"/>
          <w:szCs w:val="24"/>
        </w:rPr>
      </w:pPr>
      <w:r w:rsidRPr="00A2277A">
        <w:rPr>
          <w:rFonts w:asciiTheme="minorHAnsi" w:hAnsiTheme="minorHAnsi"/>
          <w:sz w:val="24"/>
          <w:szCs w:val="24"/>
        </w:rPr>
        <w:t>Units installed in manufactured homes;</w:t>
      </w:r>
    </w:p>
    <w:p w:rsidR="009B2F9B" w:rsidRPr="00A2277A" w:rsidRDefault="009B2F9B" w:rsidP="0081054E">
      <w:pPr>
        <w:pStyle w:val="PlainText"/>
        <w:numPr>
          <w:ilvl w:val="0"/>
          <w:numId w:val="20"/>
        </w:numPr>
        <w:ind w:left="1260" w:hanging="360"/>
        <w:rPr>
          <w:rFonts w:asciiTheme="minorHAnsi" w:hAnsiTheme="minorHAnsi"/>
          <w:sz w:val="24"/>
          <w:szCs w:val="24"/>
        </w:rPr>
      </w:pPr>
      <w:r w:rsidRPr="00A2277A">
        <w:rPr>
          <w:rFonts w:asciiTheme="minorHAnsi" w:hAnsiTheme="minorHAnsi"/>
          <w:sz w:val="24"/>
          <w:szCs w:val="24"/>
        </w:rPr>
        <w:t>Humidifiers, where the products of combustion come into direct contact with the material to be heated;</w:t>
      </w:r>
    </w:p>
    <w:p w:rsidR="009B2F9B" w:rsidRPr="00A2277A" w:rsidRDefault="009B2F9B" w:rsidP="0081054E">
      <w:pPr>
        <w:pStyle w:val="PlainText"/>
        <w:numPr>
          <w:ilvl w:val="0"/>
          <w:numId w:val="20"/>
        </w:numPr>
        <w:ind w:left="1260" w:hanging="360"/>
        <w:rPr>
          <w:rFonts w:asciiTheme="minorHAnsi" w:hAnsiTheme="minorHAnsi"/>
          <w:sz w:val="24"/>
          <w:szCs w:val="24"/>
        </w:rPr>
      </w:pPr>
      <w:r w:rsidRPr="00A2277A">
        <w:rPr>
          <w:rFonts w:asciiTheme="minorHAnsi" w:hAnsiTheme="minorHAnsi"/>
          <w:sz w:val="24"/>
          <w:szCs w:val="24"/>
        </w:rPr>
        <w:t>Units intended for shipment and use outside of state X</w:t>
      </w:r>
    </w:p>
    <w:p w:rsidR="009B2F9B" w:rsidRPr="00A2277A" w:rsidRDefault="009B2F9B" w:rsidP="001B265F">
      <w:pPr>
        <w:spacing w:before="60" w:after="200" w:line="240" w:lineRule="auto"/>
        <w:ind w:left="360"/>
        <w:jc w:val="both"/>
        <w:rPr>
          <w:rFonts w:asciiTheme="minorHAnsi" w:hAnsiTheme="minorHAnsi"/>
          <w:bCs/>
        </w:rPr>
      </w:pPr>
      <w:r w:rsidRPr="00A2277A">
        <w:rPr>
          <w:rFonts w:asciiTheme="minorHAnsi" w:hAnsiTheme="minorHAnsi"/>
          <w:bCs/>
        </w:rPr>
        <w:t xml:space="preserve">The specific NOx emission limits contained in the model rule are shown below in </w:t>
      </w:r>
      <w:r w:rsidR="006633FD">
        <w:rPr>
          <w:rFonts w:asciiTheme="minorHAnsi" w:hAnsiTheme="minorHAnsi"/>
          <w:bCs/>
        </w:rPr>
        <w:t>Table 3-5</w:t>
      </w:r>
    </w:p>
    <w:p w:rsidR="002E3B98" w:rsidRPr="002E3B98" w:rsidRDefault="002E3B98" w:rsidP="002E3B98">
      <w:pPr>
        <w:pStyle w:val="Caption"/>
        <w:keepNext/>
        <w:spacing w:before="120"/>
        <w:rPr>
          <w:rFonts w:asciiTheme="minorHAnsi" w:hAnsiTheme="minorHAnsi"/>
          <w:sz w:val="22"/>
          <w:szCs w:val="22"/>
        </w:rPr>
      </w:pPr>
      <w:bookmarkStart w:id="267" w:name="_Toc461106806"/>
      <w:r w:rsidRPr="002E3B98">
        <w:rPr>
          <w:rFonts w:asciiTheme="minorHAnsi" w:hAnsiTheme="minorHAnsi"/>
          <w:sz w:val="22"/>
          <w:szCs w:val="22"/>
        </w:rPr>
        <w:t>Table 3-5</w:t>
      </w:r>
      <w:r w:rsidR="00FD75BF">
        <w:rPr>
          <w:rFonts w:asciiTheme="minorHAnsi" w:hAnsiTheme="minorHAnsi"/>
          <w:sz w:val="22"/>
          <w:szCs w:val="22"/>
        </w:rPr>
        <w:tab/>
      </w:r>
      <w:r w:rsidR="00E041E3" w:rsidRPr="00E041E3">
        <w:rPr>
          <w:rFonts w:asciiTheme="minorHAnsi" w:hAnsiTheme="minorHAnsi"/>
          <w:sz w:val="22"/>
          <w:szCs w:val="22"/>
        </w:rPr>
        <w:t>Specific NOx emission limits contained in the model rule</w:t>
      </w:r>
      <w:bookmarkEnd w:id="267"/>
    </w:p>
    <w:tbl>
      <w:tblPr>
        <w:tblStyle w:val="TableGrid"/>
        <w:tblpPr w:leftFromText="180" w:rightFromText="180" w:vertAnchor="text" w:horzAnchor="margin" w:tblpXSpec="center" w:tblpY="170"/>
        <w:tblW w:w="0" w:type="auto"/>
        <w:tblLook w:val="01E0" w:firstRow="1" w:lastRow="1" w:firstColumn="1" w:lastColumn="1" w:noHBand="0" w:noVBand="0"/>
      </w:tblPr>
      <w:tblGrid>
        <w:gridCol w:w="1241"/>
        <w:gridCol w:w="1809"/>
        <w:gridCol w:w="3760"/>
        <w:gridCol w:w="2366"/>
      </w:tblGrid>
      <w:tr w:rsidR="009B2F9B" w:rsidRPr="00A2277A" w:rsidTr="002E3B98">
        <w:tc>
          <w:tcPr>
            <w:tcW w:w="9176" w:type="dxa"/>
            <w:gridSpan w:val="4"/>
            <w:vAlign w:val="center"/>
          </w:tcPr>
          <w:p w:rsidR="009B2F9B" w:rsidRDefault="009B2F9B" w:rsidP="0081054E">
            <w:pPr>
              <w:rPr>
                <w:rFonts w:asciiTheme="minorHAnsi" w:hAnsiTheme="minorHAnsi"/>
                <w:b/>
                <w:bCs/>
              </w:rPr>
            </w:pPr>
            <w:r w:rsidRPr="00A2277A">
              <w:rPr>
                <w:rFonts w:asciiTheme="minorHAnsi" w:hAnsiTheme="minorHAnsi"/>
                <w:b/>
                <w:bCs/>
              </w:rPr>
              <w:t>NOx Emission Limits</w:t>
            </w:r>
            <w:r>
              <w:rPr>
                <w:rFonts w:asciiTheme="minorHAnsi" w:hAnsiTheme="minorHAnsi"/>
                <w:b/>
                <w:bCs/>
              </w:rPr>
              <w:t xml:space="preserve"> for</w:t>
            </w:r>
          </w:p>
          <w:p w:rsidR="009B2F9B" w:rsidRPr="00A2277A" w:rsidRDefault="009B2F9B" w:rsidP="0081054E">
            <w:pPr>
              <w:rPr>
                <w:rFonts w:asciiTheme="minorHAnsi" w:hAnsiTheme="minorHAnsi"/>
                <w:b/>
                <w:bCs/>
              </w:rPr>
            </w:pPr>
            <w:r>
              <w:rPr>
                <w:rFonts w:asciiTheme="minorHAnsi" w:hAnsiTheme="minorHAnsi"/>
                <w:b/>
                <w:bCs/>
              </w:rPr>
              <w:t xml:space="preserve">New </w:t>
            </w:r>
            <w:r w:rsidRPr="00A2277A">
              <w:rPr>
                <w:rFonts w:asciiTheme="minorHAnsi" w:hAnsiTheme="minorHAnsi"/>
                <w:b/>
                <w:bCs/>
              </w:rPr>
              <w:t>Small Natural Gas-Fired Boilers, Steam Generators, Process Heaters &amp; Water Heaters</w:t>
            </w:r>
            <w:r>
              <w:rPr>
                <w:rFonts w:asciiTheme="minorHAnsi" w:hAnsiTheme="minorHAnsi"/>
                <w:b/>
                <w:bCs/>
              </w:rPr>
              <w:t xml:space="preserve"> </w:t>
            </w:r>
            <w:r w:rsidRPr="00380333">
              <w:rPr>
                <w:rFonts w:asciiTheme="minorHAnsi" w:hAnsiTheme="minorHAnsi"/>
                <w:b/>
                <w:bCs/>
              </w:rPr>
              <w:t>75,000 BTUs/hr to 5,000,000 BTUs/hr</w:t>
            </w:r>
          </w:p>
          <w:p w:rsidR="009B2F9B" w:rsidRPr="00A2277A" w:rsidRDefault="009B2F9B" w:rsidP="0081054E">
            <w:pPr>
              <w:rPr>
                <w:rFonts w:asciiTheme="minorHAnsi" w:hAnsiTheme="minorHAnsi"/>
                <w:b/>
                <w:bCs/>
              </w:rPr>
            </w:pPr>
          </w:p>
        </w:tc>
      </w:tr>
      <w:tr w:rsidR="009B2F9B" w:rsidRPr="00A2277A" w:rsidTr="002E3B98">
        <w:tc>
          <w:tcPr>
            <w:tcW w:w="1174" w:type="dxa"/>
            <w:vAlign w:val="center"/>
          </w:tcPr>
          <w:p w:rsidR="009B2F9B" w:rsidRPr="003F3964" w:rsidRDefault="009B2F9B" w:rsidP="0081054E">
            <w:pPr>
              <w:rPr>
                <w:rFonts w:asciiTheme="minorHAnsi" w:hAnsiTheme="minorHAnsi"/>
                <w:b/>
              </w:rPr>
            </w:pPr>
            <w:r w:rsidRPr="003F3964">
              <w:rPr>
                <w:rFonts w:asciiTheme="minorHAnsi" w:hAnsiTheme="minorHAnsi"/>
                <w:b/>
              </w:rPr>
              <w:t>Unit Type</w:t>
            </w:r>
          </w:p>
        </w:tc>
        <w:tc>
          <w:tcPr>
            <w:tcW w:w="0" w:type="auto"/>
            <w:vAlign w:val="center"/>
          </w:tcPr>
          <w:p w:rsidR="009B2F9B" w:rsidRPr="003F3964" w:rsidRDefault="009B2F9B" w:rsidP="0081054E">
            <w:pPr>
              <w:rPr>
                <w:rFonts w:asciiTheme="minorHAnsi" w:hAnsiTheme="minorHAnsi"/>
                <w:b/>
              </w:rPr>
            </w:pPr>
            <w:r w:rsidRPr="003F3964">
              <w:rPr>
                <w:rFonts w:asciiTheme="minorHAnsi" w:hAnsiTheme="minorHAnsi"/>
                <w:b/>
              </w:rPr>
              <w:t>Unit Size</w:t>
            </w:r>
          </w:p>
          <w:p w:rsidR="009B2F9B" w:rsidRPr="003F3964" w:rsidRDefault="009B2F9B" w:rsidP="0081054E">
            <w:pPr>
              <w:rPr>
                <w:rFonts w:asciiTheme="minorHAnsi" w:hAnsiTheme="minorHAnsi"/>
                <w:b/>
                <w:vertAlign w:val="superscript"/>
              </w:rPr>
            </w:pPr>
            <w:r w:rsidRPr="003F3964">
              <w:rPr>
                <w:rFonts w:asciiTheme="minorHAnsi" w:hAnsiTheme="minorHAnsi"/>
                <w:b/>
              </w:rPr>
              <w:t>(MMBtu/hr)</w:t>
            </w:r>
          </w:p>
        </w:tc>
        <w:tc>
          <w:tcPr>
            <w:tcW w:w="0" w:type="auto"/>
            <w:vAlign w:val="center"/>
          </w:tcPr>
          <w:p w:rsidR="009B2F9B" w:rsidRPr="003F3964" w:rsidRDefault="009B2F9B" w:rsidP="0081054E">
            <w:pPr>
              <w:rPr>
                <w:rFonts w:asciiTheme="minorHAnsi" w:hAnsiTheme="minorHAnsi"/>
                <w:b/>
              </w:rPr>
            </w:pPr>
            <w:r w:rsidRPr="003F3964">
              <w:rPr>
                <w:rFonts w:asciiTheme="minorHAnsi" w:hAnsiTheme="minorHAnsi"/>
                <w:b/>
              </w:rPr>
              <w:t>NOx Emission Limit</w:t>
            </w:r>
          </w:p>
          <w:p w:rsidR="009B2F9B" w:rsidRPr="003F3964" w:rsidRDefault="009B2F9B" w:rsidP="0081054E">
            <w:pPr>
              <w:rPr>
                <w:rFonts w:asciiTheme="minorHAnsi" w:hAnsiTheme="minorHAnsi"/>
                <w:b/>
              </w:rPr>
            </w:pPr>
            <w:r w:rsidRPr="003F3964">
              <w:rPr>
                <w:rFonts w:asciiTheme="minorHAnsi" w:hAnsiTheme="minorHAnsi"/>
                <w:b/>
              </w:rPr>
              <w:t>(lbs/MMBtu @ 3.0% O</w:t>
            </w:r>
            <w:r w:rsidRPr="003F3964">
              <w:rPr>
                <w:rFonts w:asciiTheme="minorHAnsi" w:hAnsiTheme="minorHAnsi"/>
                <w:b/>
                <w:vertAlign w:val="subscript"/>
              </w:rPr>
              <w:t>2</w:t>
            </w:r>
            <w:r w:rsidRPr="003F3964">
              <w:rPr>
                <w:rFonts w:asciiTheme="minorHAnsi" w:hAnsiTheme="minorHAnsi"/>
                <w:b/>
              </w:rPr>
              <w:t xml:space="preserve"> dry basis)</w:t>
            </w:r>
          </w:p>
        </w:tc>
        <w:tc>
          <w:tcPr>
            <w:tcW w:w="0" w:type="auto"/>
            <w:vAlign w:val="center"/>
          </w:tcPr>
          <w:p w:rsidR="009B2F9B" w:rsidRPr="003F3964" w:rsidRDefault="009B2F9B" w:rsidP="0081054E">
            <w:pPr>
              <w:rPr>
                <w:rFonts w:asciiTheme="minorHAnsi" w:hAnsiTheme="minorHAnsi"/>
                <w:b/>
              </w:rPr>
            </w:pPr>
            <w:r w:rsidRPr="003F3964">
              <w:rPr>
                <w:rFonts w:asciiTheme="minorHAnsi" w:hAnsiTheme="minorHAnsi"/>
                <w:b/>
              </w:rPr>
              <w:t>Compliance Method</w:t>
            </w:r>
          </w:p>
          <w:p w:rsidR="009B2F9B" w:rsidRPr="003F3964" w:rsidRDefault="009B2F9B" w:rsidP="0081054E">
            <w:pPr>
              <w:rPr>
                <w:rFonts w:asciiTheme="minorHAnsi" w:hAnsiTheme="minorHAnsi"/>
                <w:b/>
                <w:vertAlign w:val="superscript"/>
              </w:rPr>
            </w:pPr>
          </w:p>
        </w:tc>
      </w:tr>
      <w:tr w:rsidR="009B2F9B" w:rsidRPr="00A2277A" w:rsidTr="002E3B98">
        <w:tc>
          <w:tcPr>
            <w:tcW w:w="1174" w:type="dxa"/>
            <w:vAlign w:val="center"/>
          </w:tcPr>
          <w:p w:rsidR="009B2F9B" w:rsidRPr="00A2277A" w:rsidRDefault="009B2F9B" w:rsidP="0081054E">
            <w:pPr>
              <w:rPr>
                <w:rFonts w:asciiTheme="minorHAnsi" w:hAnsiTheme="minorHAnsi"/>
              </w:rPr>
            </w:pPr>
            <w:r w:rsidRPr="00A2277A">
              <w:rPr>
                <w:rFonts w:asciiTheme="minorHAnsi" w:hAnsiTheme="minorHAnsi"/>
              </w:rPr>
              <w:t>Type 1</w:t>
            </w:r>
          </w:p>
        </w:tc>
        <w:tc>
          <w:tcPr>
            <w:tcW w:w="0" w:type="auto"/>
            <w:vAlign w:val="center"/>
          </w:tcPr>
          <w:p w:rsidR="009B2F9B" w:rsidRPr="00A2277A" w:rsidRDefault="009B2F9B" w:rsidP="0081054E">
            <w:pPr>
              <w:rPr>
                <w:rFonts w:asciiTheme="minorHAnsi" w:hAnsiTheme="minorHAnsi"/>
              </w:rPr>
            </w:pPr>
            <w:r w:rsidRPr="00A2277A">
              <w:rPr>
                <w:rFonts w:asciiTheme="minorHAnsi" w:hAnsiTheme="minorHAnsi"/>
              </w:rPr>
              <w:t>0.075 – 0.400</w:t>
            </w:r>
          </w:p>
        </w:tc>
        <w:tc>
          <w:tcPr>
            <w:tcW w:w="0" w:type="auto"/>
            <w:vAlign w:val="center"/>
          </w:tcPr>
          <w:p w:rsidR="009B2F9B" w:rsidRPr="00A2277A" w:rsidRDefault="009B2F9B" w:rsidP="0081054E">
            <w:pPr>
              <w:rPr>
                <w:rFonts w:asciiTheme="minorHAnsi" w:hAnsiTheme="minorHAnsi"/>
              </w:rPr>
            </w:pPr>
            <w:r w:rsidRPr="00A2277A">
              <w:rPr>
                <w:rFonts w:asciiTheme="minorHAnsi" w:hAnsiTheme="minorHAnsi"/>
              </w:rPr>
              <w:t>0.093</w:t>
            </w:r>
          </w:p>
        </w:tc>
        <w:tc>
          <w:tcPr>
            <w:tcW w:w="0" w:type="auto"/>
            <w:vAlign w:val="center"/>
          </w:tcPr>
          <w:p w:rsidR="009B2F9B" w:rsidRPr="00A2277A" w:rsidRDefault="009B2F9B" w:rsidP="0081054E">
            <w:pPr>
              <w:rPr>
                <w:rFonts w:asciiTheme="minorHAnsi" w:hAnsiTheme="minorHAnsi"/>
                <w:vertAlign w:val="superscript"/>
              </w:rPr>
            </w:pPr>
            <w:r w:rsidRPr="00A2277A">
              <w:rPr>
                <w:rFonts w:asciiTheme="minorHAnsi" w:hAnsiTheme="minorHAnsi"/>
              </w:rPr>
              <w:t>Certified Product</w:t>
            </w:r>
            <w:r w:rsidRPr="00A2277A">
              <w:rPr>
                <w:rFonts w:asciiTheme="minorHAnsi" w:hAnsiTheme="minorHAnsi"/>
                <w:vertAlign w:val="superscript"/>
              </w:rPr>
              <w:t>*</w:t>
            </w:r>
          </w:p>
        </w:tc>
      </w:tr>
      <w:tr w:rsidR="009B2F9B" w:rsidRPr="00A2277A" w:rsidTr="002E3B98">
        <w:tc>
          <w:tcPr>
            <w:tcW w:w="1174" w:type="dxa"/>
            <w:vAlign w:val="center"/>
          </w:tcPr>
          <w:p w:rsidR="009B2F9B" w:rsidRPr="00A2277A" w:rsidRDefault="009B2F9B" w:rsidP="0081054E">
            <w:pPr>
              <w:jc w:val="both"/>
              <w:rPr>
                <w:rFonts w:asciiTheme="minorHAnsi" w:hAnsiTheme="minorHAnsi"/>
              </w:rPr>
            </w:pPr>
            <w:r w:rsidRPr="00A2277A">
              <w:rPr>
                <w:rFonts w:asciiTheme="minorHAnsi" w:hAnsiTheme="minorHAnsi"/>
              </w:rPr>
              <w:t xml:space="preserve">   Type 2</w:t>
            </w:r>
          </w:p>
        </w:tc>
        <w:tc>
          <w:tcPr>
            <w:tcW w:w="0" w:type="auto"/>
            <w:vAlign w:val="center"/>
          </w:tcPr>
          <w:p w:rsidR="009B2F9B" w:rsidRPr="00A2277A" w:rsidRDefault="009B2F9B" w:rsidP="0081054E">
            <w:pPr>
              <w:rPr>
                <w:rFonts w:asciiTheme="minorHAnsi" w:hAnsiTheme="minorHAnsi"/>
              </w:rPr>
            </w:pPr>
            <w:r w:rsidRPr="00A2277A">
              <w:rPr>
                <w:rFonts w:asciiTheme="minorHAnsi" w:hAnsiTheme="minorHAnsi"/>
              </w:rPr>
              <w:t>&gt;0.400 –  &lt;2.00</w:t>
            </w:r>
          </w:p>
        </w:tc>
        <w:tc>
          <w:tcPr>
            <w:tcW w:w="0" w:type="auto"/>
            <w:vAlign w:val="center"/>
          </w:tcPr>
          <w:p w:rsidR="009B2F9B" w:rsidRPr="00A2277A" w:rsidRDefault="009B2F9B" w:rsidP="0081054E">
            <w:pPr>
              <w:rPr>
                <w:rFonts w:asciiTheme="minorHAnsi" w:hAnsiTheme="minorHAnsi"/>
              </w:rPr>
            </w:pPr>
            <w:r w:rsidRPr="00A2277A">
              <w:rPr>
                <w:rFonts w:asciiTheme="minorHAnsi" w:hAnsiTheme="minorHAnsi"/>
              </w:rPr>
              <w:t>0.036</w:t>
            </w:r>
          </w:p>
        </w:tc>
        <w:tc>
          <w:tcPr>
            <w:tcW w:w="0" w:type="auto"/>
            <w:tcBorders>
              <w:bottom w:val="single" w:sz="4" w:space="0" w:color="auto"/>
            </w:tcBorders>
            <w:vAlign w:val="center"/>
          </w:tcPr>
          <w:p w:rsidR="009B2F9B" w:rsidRPr="00A2277A" w:rsidRDefault="009B2F9B" w:rsidP="0081054E">
            <w:pPr>
              <w:rPr>
                <w:rFonts w:asciiTheme="minorHAnsi" w:hAnsiTheme="minorHAnsi"/>
                <w:vertAlign w:val="superscript"/>
              </w:rPr>
            </w:pPr>
            <w:r w:rsidRPr="00A2277A">
              <w:rPr>
                <w:rFonts w:asciiTheme="minorHAnsi" w:hAnsiTheme="minorHAnsi"/>
              </w:rPr>
              <w:t>Certified Product</w:t>
            </w:r>
            <w:r w:rsidRPr="00A2277A">
              <w:rPr>
                <w:rFonts w:asciiTheme="minorHAnsi" w:hAnsiTheme="minorHAnsi"/>
                <w:vertAlign w:val="superscript"/>
              </w:rPr>
              <w:t>*</w:t>
            </w:r>
          </w:p>
        </w:tc>
      </w:tr>
      <w:tr w:rsidR="009B2F9B" w:rsidRPr="00A2277A" w:rsidTr="002E3B98">
        <w:trPr>
          <w:trHeight w:val="135"/>
        </w:trPr>
        <w:tc>
          <w:tcPr>
            <w:tcW w:w="1174" w:type="dxa"/>
            <w:vMerge w:val="restart"/>
            <w:vAlign w:val="center"/>
          </w:tcPr>
          <w:p w:rsidR="009B2F9B" w:rsidRPr="00A2277A" w:rsidRDefault="009B2F9B" w:rsidP="0081054E">
            <w:pPr>
              <w:rPr>
                <w:rFonts w:asciiTheme="minorHAnsi" w:hAnsiTheme="minorHAnsi"/>
              </w:rPr>
            </w:pPr>
            <w:r w:rsidRPr="00A2277A">
              <w:rPr>
                <w:rFonts w:asciiTheme="minorHAnsi" w:hAnsiTheme="minorHAnsi"/>
              </w:rPr>
              <w:t>Type 3</w:t>
            </w:r>
          </w:p>
        </w:tc>
        <w:tc>
          <w:tcPr>
            <w:tcW w:w="0" w:type="auto"/>
            <w:vMerge w:val="restart"/>
            <w:vAlign w:val="center"/>
          </w:tcPr>
          <w:p w:rsidR="009B2F9B" w:rsidRPr="00A2277A" w:rsidRDefault="009B2F9B" w:rsidP="0081054E">
            <w:pPr>
              <w:rPr>
                <w:rFonts w:asciiTheme="minorHAnsi" w:hAnsiTheme="minorHAnsi"/>
              </w:rPr>
            </w:pPr>
            <w:r w:rsidRPr="00A2277A">
              <w:rPr>
                <w:rFonts w:asciiTheme="minorHAnsi" w:hAnsiTheme="minorHAnsi"/>
              </w:rPr>
              <w:t>2.00 – 5.00</w:t>
            </w:r>
          </w:p>
        </w:tc>
        <w:tc>
          <w:tcPr>
            <w:tcW w:w="0" w:type="auto"/>
            <w:vAlign w:val="center"/>
          </w:tcPr>
          <w:p w:rsidR="009B2F9B" w:rsidRPr="00A2277A" w:rsidRDefault="009B2F9B" w:rsidP="0081054E">
            <w:pPr>
              <w:rPr>
                <w:rFonts w:asciiTheme="minorHAnsi" w:hAnsiTheme="minorHAnsi"/>
              </w:rPr>
            </w:pPr>
            <w:r w:rsidRPr="00A2277A">
              <w:rPr>
                <w:rFonts w:asciiTheme="minorHAnsi" w:hAnsiTheme="minorHAnsi"/>
              </w:rPr>
              <w:t>0.014  (or 12 ppmv)</w:t>
            </w:r>
          </w:p>
          <w:p w:rsidR="009B2F9B" w:rsidRPr="00A2277A" w:rsidRDefault="009B2F9B" w:rsidP="0081054E">
            <w:pPr>
              <w:rPr>
                <w:rFonts w:asciiTheme="minorHAnsi" w:hAnsiTheme="minorHAnsi"/>
              </w:rPr>
            </w:pPr>
            <w:r w:rsidRPr="00A2277A">
              <w:rPr>
                <w:rFonts w:asciiTheme="minorHAnsi" w:hAnsiTheme="minorHAnsi"/>
              </w:rPr>
              <w:t>(atmospheric units)</w:t>
            </w:r>
          </w:p>
        </w:tc>
        <w:tc>
          <w:tcPr>
            <w:tcW w:w="0" w:type="auto"/>
            <w:vMerge w:val="restart"/>
            <w:tcBorders>
              <w:bottom w:val="single" w:sz="4" w:space="0" w:color="auto"/>
            </w:tcBorders>
            <w:vAlign w:val="center"/>
          </w:tcPr>
          <w:p w:rsidR="009B2F9B" w:rsidRPr="00A2277A" w:rsidRDefault="009B2F9B" w:rsidP="0081054E">
            <w:pPr>
              <w:rPr>
                <w:rFonts w:asciiTheme="minorHAnsi" w:hAnsiTheme="minorHAnsi"/>
              </w:rPr>
            </w:pPr>
            <w:r w:rsidRPr="00A2277A">
              <w:rPr>
                <w:rFonts w:asciiTheme="minorHAnsi" w:hAnsiTheme="minorHAnsi"/>
              </w:rPr>
              <w:t xml:space="preserve">Certified Product or </w:t>
            </w:r>
          </w:p>
          <w:p w:rsidR="009B2F9B" w:rsidRPr="00A2277A" w:rsidRDefault="009B2F9B" w:rsidP="0081054E">
            <w:pPr>
              <w:rPr>
                <w:rFonts w:asciiTheme="minorHAnsi" w:hAnsiTheme="minorHAnsi"/>
              </w:rPr>
            </w:pPr>
            <w:r w:rsidRPr="00A2277A">
              <w:rPr>
                <w:rFonts w:asciiTheme="minorHAnsi" w:hAnsiTheme="minorHAnsi"/>
              </w:rPr>
              <w:t>Source Test**</w:t>
            </w:r>
          </w:p>
        </w:tc>
      </w:tr>
      <w:tr w:rsidR="009B2F9B" w:rsidRPr="00A2277A" w:rsidTr="002E3B98">
        <w:trPr>
          <w:trHeight w:val="135"/>
        </w:trPr>
        <w:tc>
          <w:tcPr>
            <w:tcW w:w="1174" w:type="dxa"/>
            <w:vMerge/>
            <w:vAlign w:val="center"/>
          </w:tcPr>
          <w:p w:rsidR="009B2F9B" w:rsidRPr="00A2277A" w:rsidRDefault="009B2F9B" w:rsidP="0081054E">
            <w:pPr>
              <w:rPr>
                <w:rFonts w:asciiTheme="minorHAnsi" w:hAnsiTheme="minorHAnsi"/>
              </w:rPr>
            </w:pPr>
          </w:p>
        </w:tc>
        <w:tc>
          <w:tcPr>
            <w:tcW w:w="0" w:type="auto"/>
            <w:vMerge/>
            <w:vAlign w:val="center"/>
          </w:tcPr>
          <w:p w:rsidR="009B2F9B" w:rsidRPr="00A2277A" w:rsidRDefault="009B2F9B" w:rsidP="0081054E">
            <w:pPr>
              <w:rPr>
                <w:rFonts w:asciiTheme="minorHAnsi" w:hAnsiTheme="minorHAnsi"/>
              </w:rPr>
            </w:pPr>
          </w:p>
        </w:tc>
        <w:tc>
          <w:tcPr>
            <w:tcW w:w="0" w:type="auto"/>
            <w:vAlign w:val="center"/>
          </w:tcPr>
          <w:p w:rsidR="009B2F9B" w:rsidRPr="00A2277A" w:rsidRDefault="009B2F9B" w:rsidP="0081054E">
            <w:pPr>
              <w:rPr>
                <w:rFonts w:asciiTheme="minorHAnsi" w:hAnsiTheme="minorHAnsi"/>
              </w:rPr>
            </w:pPr>
            <w:r w:rsidRPr="00A2277A">
              <w:rPr>
                <w:rFonts w:asciiTheme="minorHAnsi" w:hAnsiTheme="minorHAnsi"/>
              </w:rPr>
              <w:t>0.011 (or 9 ppmv)</w:t>
            </w:r>
          </w:p>
          <w:p w:rsidR="009B2F9B" w:rsidRPr="00A2277A" w:rsidRDefault="009B2F9B" w:rsidP="0081054E">
            <w:pPr>
              <w:rPr>
                <w:rFonts w:asciiTheme="minorHAnsi" w:hAnsiTheme="minorHAnsi"/>
              </w:rPr>
            </w:pPr>
            <w:r w:rsidRPr="00A2277A">
              <w:rPr>
                <w:rFonts w:asciiTheme="minorHAnsi" w:hAnsiTheme="minorHAnsi"/>
              </w:rPr>
              <w:t>(non-atmospheric units)</w:t>
            </w:r>
          </w:p>
        </w:tc>
        <w:tc>
          <w:tcPr>
            <w:tcW w:w="0" w:type="auto"/>
            <w:vMerge/>
            <w:tcBorders>
              <w:bottom w:val="single" w:sz="4" w:space="0" w:color="auto"/>
            </w:tcBorders>
            <w:vAlign w:val="center"/>
          </w:tcPr>
          <w:p w:rsidR="009B2F9B" w:rsidRPr="00A2277A" w:rsidRDefault="009B2F9B" w:rsidP="0081054E">
            <w:pPr>
              <w:rPr>
                <w:rFonts w:asciiTheme="minorHAnsi" w:hAnsiTheme="minorHAnsi"/>
              </w:rPr>
            </w:pPr>
          </w:p>
        </w:tc>
      </w:tr>
    </w:tbl>
    <w:p w:rsidR="009B2F9B" w:rsidRPr="00D00F6C" w:rsidRDefault="009B2F9B" w:rsidP="0081054E">
      <w:pPr>
        <w:spacing w:before="120" w:after="0" w:line="240" w:lineRule="auto"/>
        <w:ind w:left="360"/>
        <w:rPr>
          <w:rFonts w:asciiTheme="minorHAnsi" w:hAnsiTheme="minorHAnsi"/>
          <w:sz w:val="22"/>
        </w:rPr>
      </w:pPr>
      <w:r w:rsidRPr="00D00F6C">
        <w:rPr>
          <w:rFonts w:asciiTheme="minorHAnsi" w:hAnsiTheme="minorHAnsi"/>
          <w:sz w:val="22"/>
        </w:rPr>
        <w:t xml:space="preserve">Note(s):   </w:t>
      </w:r>
      <w:r w:rsidRPr="00D00F6C">
        <w:rPr>
          <w:rFonts w:asciiTheme="minorHAnsi" w:hAnsiTheme="minorHAnsi"/>
          <w:sz w:val="22"/>
          <w:vertAlign w:val="superscript"/>
        </w:rPr>
        <w:t>*</w:t>
      </w:r>
      <w:r w:rsidRPr="00D00F6C">
        <w:rPr>
          <w:rFonts w:asciiTheme="minorHAnsi" w:hAnsiTheme="minorHAnsi"/>
          <w:sz w:val="22"/>
        </w:rPr>
        <w:t xml:space="preserve">SJVAPCD uses certified products - SJVAPCD rule 4308. </w:t>
      </w:r>
    </w:p>
    <w:p w:rsidR="009B2F9B" w:rsidRDefault="009B2F9B" w:rsidP="0081054E">
      <w:pPr>
        <w:spacing w:after="0" w:line="240" w:lineRule="auto"/>
        <w:ind w:firstLine="720"/>
        <w:jc w:val="both"/>
        <w:rPr>
          <w:rFonts w:asciiTheme="minorHAnsi" w:hAnsiTheme="minorHAnsi"/>
          <w:sz w:val="22"/>
        </w:rPr>
      </w:pPr>
      <w:r w:rsidRPr="00D00F6C">
        <w:rPr>
          <w:rFonts w:asciiTheme="minorHAnsi" w:hAnsiTheme="minorHAnsi"/>
          <w:sz w:val="22"/>
        </w:rPr>
        <w:t xml:space="preserve">    </w:t>
      </w:r>
      <w:r w:rsidRPr="00D00F6C">
        <w:rPr>
          <w:rFonts w:asciiTheme="minorHAnsi" w:hAnsiTheme="minorHAnsi"/>
          <w:sz w:val="22"/>
        </w:rPr>
        <w:tab/>
        <w:t xml:space="preserve">  </w:t>
      </w:r>
      <w:r w:rsidRPr="00D00F6C">
        <w:rPr>
          <w:rFonts w:asciiTheme="minorHAnsi" w:hAnsiTheme="minorHAnsi"/>
          <w:sz w:val="22"/>
          <w:vertAlign w:val="superscript"/>
        </w:rPr>
        <w:t>**</w:t>
      </w:r>
      <w:r w:rsidRPr="00D00F6C">
        <w:rPr>
          <w:rFonts w:asciiTheme="minorHAnsi" w:hAnsiTheme="minorHAnsi"/>
          <w:sz w:val="22"/>
        </w:rPr>
        <w:t xml:space="preserve">SJVAPCD uses certified products </w:t>
      </w:r>
      <w:r w:rsidRPr="00D00F6C">
        <w:rPr>
          <w:rFonts w:asciiTheme="minorHAnsi" w:hAnsiTheme="minorHAnsi"/>
          <w:sz w:val="22"/>
          <w:u w:val="single"/>
        </w:rPr>
        <w:t>or</w:t>
      </w:r>
      <w:r w:rsidRPr="00D00F6C">
        <w:rPr>
          <w:rFonts w:asciiTheme="minorHAnsi" w:hAnsiTheme="minorHAnsi"/>
          <w:sz w:val="22"/>
        </w:rPr>
        <w:t xml:space="preserve"> source tests - SJVAPCD rule 4307 </w:t>
      </w:r>
    </w:p>
    <w:p w:rsidR="009B2F9B" w:rsidRDefault="009B2F9B" w:rsidP="001B265F">
      <w:pPr>
        <w:pStyle w:val="PlainText"/>
        <w:spacing w:before="200" w:after="120"/>
        <w:ind w:left="360"/>
        <w:jc w:val="both"/>
        <w:rPr>
          <w:rFonts w:asciiTheme="minorHAnsi" w:hAnsiTheme="minorHAnsi"/>
          <w:sz w:val="24"/>
          <w:szCs w:val="24"/>
        </w:rPr>
      </w:pPr>
      <w:r>
        <w:rPr>
          <w:rFonts w:asciiTheme="minorHAnsi" w:hAnsiTheme="minorHAnsi"/>
          <w:sz w:val="24"/>
          <w:szCs w:val="24"/>
        </w:rPr>
        <w:t xml:space="preserve">There are also optional sections in the model rule for states for Type 3 units only for combustion tune-ups, a compliance certification program, compliance monitoring, record </w:t>
      </w:r>
      <w:r w:rsidR="0060782B">
        <w:rPr>
          <w:noProof/>
        </w:rPr>
        <mc:AlternateContent>
          <mc:Choice Requires="wps">
            <w:drawing>
              <wp:anchor distT="0" distB="0" distL="114300" distR="114300" simplePos="0" relativeHeight="251741184" behindDoc="0" locked="1" layoutInCell="1" allowOverlap="0" wp14:anchorId="37F0C09B" wp14:editId="2A19CA42">
                <wp:simplePos x="0" y="0"/>
                <wp:positionH relativeFrom="margin">
                  <wp:posOffset>2847975</wp:posOffset>
                </wp:positionH>
                <wp:positionV relativeFrom="bottomMargin">
                  <wp:posOffset>235585</wp:posOffset>
                </wp:positionV>
                <wp:extent cx="914400" cy="237490"/>
                <wp:effectExtent l="0" t="0" r="0" b="0"/>
                <wp:wrapNone/>
                <wp:docPr id="20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237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782B" w:rsidRDefault="0060782B" w:rsidP="0060782B">
                            <w:pPr>
                              <w:ind w:right="60"/>
                              <w:rPr>
                                <w:rFonts w:asciiTheme="minorHAnsi" w:hAnsiTheme="minorHAnsi"/>
                                <w:sz w:val="20"/>
                                <w:szCs w:val="20"/>
                              </w:rPr>
                            </w:pPr>
                            <w:hyperlink w:anchor="TOC" w:history="1">
                              <w:r>
                                <w:rPr>
                                  <w:rStyle w:val="Hyperlink"/>
                                  <w:sz w:val="20"/>
                                  <w:szCs w:val="20"/>
                                </w:rPr>
                                <w:t>Back to TOC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0C09B" id="Text Box 208" o:spid="_x0000_s1057" type="#_x0000_t202" style="position:absolute;left:0;text-align:left;margin-left:224.25pt;margin-top:18.55pt;width:1in;height:18.7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8u0mQIAAK4FAAAOAAAAZHJzL2Uyb0RvYy54bWysVFFP2zAQfp+0/2D5fSQtBUbUFHUgpkkV&#10;oMHEs+vYrYXj82y3SffrOTtJKYwXpr0kZ993d76772560daabIXzCkxJR0c5JcJwqJRZlfTXw/WX&#10;r5T4wEzFNBhR0p3w9GL2+dO0sYUYwxp0JRxBJ8YXjS3pOgRbZJnna1EzfwRWGFRKcDULeHSrrHKs&#10;Qe+1zsZ5fpo14CrrgAvv8faqU9JZ8i+l4OFWSi8C0SXFt4X0dem7jN9sNmXFyjG7Vrx/BvuHV9RM&#10;GQy6d3XFAiMbp/5yVSvuwIMMRxzqDKRUXKQcMJtR/iab+zWzIuWCxfF2Xyb//9zym+2dI6oq6TjH&#10;VhlWY5MeRBvIN2hJvMMKNdYXCLy3CA0tKrDTKVtvF8CfPEKyA0xn4BEdK9JKV8c/5krQEJuw2xc+&#10;xuF4eT6aTHLUcFSNj88m56kx2YuxdT58F1CTKJTUYV/TA9h24UMMz4oBEmN50Kq6VlqnQ+SSuNSO&#10;bBmyQIdRzAktXqG0IU1JT49P8uTYQDTvcNpENyKxqQ8Xs+0STFLYaREx2vwUEquZ8nwnNuNcmH38&#10;hI4oiaE+YtjjX171EeMuD7RIkcGEvXGtDLiur69LVj0NJZMdvu+37/KOJQjtsk00Oj4ZGLOEaoeE&#10;cdANnbf8WmH3FsyHO+ZwyrDhuDnCLX6kBqw+9BIla3B/3ruPeCQ/ailpcGpL6n9vmBOU6B8GxyIR&#10;Ccc8HSYnZ2OM4Q41y0ON2dSXgJQY4Y6yPIkRH/QgSgf1Iy6YeYyKKmY4xi5pGMTL0O0SXFBczOcJ&#10;hINtWViYe8uHOYncfGgfmbM9gQMy/waG+WbFGx532NggA/NNAKkSyWOhu6r2DcClkJjcL7C4dQ7P&#10;CfWyZmfPAAAA//8DAFBLAwQUAAYACAAAACEAqJq6IOAAAAAJAQAADwAAAGRycy9kb3ducmV2Lnht&#10;bEyPwU7DMAyG70i8Q2QkLhNLO1o2St0JISZthx0oXHbLGtNWNEmVZFt5e8wJjrY//f7+cj2ZQZzJ&#10;h95ZhHSegCDbON3bFuHjfXO3AhGisloNzhLCNwVYV9dXpSq0u9g3OtexFRxiQ6EQuhjHQsrQdGRU&#10;mLuRLN8+nTcq8uhbqb26cLgZ5CJJHqRRveUPnRrppaPmqz4ZhH04bGcHv93M6qDljmj/uksj4u3N&#10;9PwEItIU/2D41Wd1qNjp6E5WBzEgZNkqZxThfpmCYCB/XPDiiLDMcpBVKf83qH4AAAD//wMAUEsB&#10;Ai0AFAAGAAgAAAAhALaDOJL+AAAA4QEAABMAAAAAAAAAAAAAAAAAAAAAAFtDb250ZW50X1R5cGVz&#10;XS54bWxQSwECLQAUAAYACAAAACEAOP0h/9YAAACUAQAACwAAAAAAAAAAAAAAAAAvAQAAX3JlbHMv&#10;LnJlbHNQSwECLQAUAAYACAAAACEAsYfLtJkCAACuBQAADgAAAAAAAAAAAAAAAAAuAgAAZHJzL2Uy&#10;b0RvYy54bWxQSwECLQAUAAYACAAAACEAqJq6IOAAAAAJAQAADwAAAAAAAAAAAAAAAADzBAAAZHJz&#10;L2Rvd25yZXYueG1sUEsFBgAAAAAEAAQA8wAAAAAGAAAAAA==&#10;" o:allowoverlap="f" fillcolor="white [3201]" stroked="f" strokeweight=".5pt">
                <v:path arrowok="t"/>
                <v:textbox>
                  <w:txbxContent>
                    <w:p w:rsidR="0060782B" w:rsidRDefault="0060782B" w:rsidP="0060782B">
                      <w:pPr>
                        <w:ind w:right="60"/>
                        <w:rPr>
                          <w:rFonts w:asciiTheme="minorHAnsi" w:hAnsiTheme="minorHAnsi"/>
                          <w:sz w:val="20"/>
                          <w:szCs w:val="20"/>
                        </w:rPr>
                      </w:pPr>
                      <w:hyperlink w:anchor="TOC" w:history="1">
                        <w:r>
                          <w:rPr>
                            <w:rStyle w:val="Hyperlink"/>
                            <w:sz w:val="20"/>
                            <w:szCs w:val="20"/>
                          </w:rPr>
                          <w:t>Back to TOC</w:t>
                        </w:r>
                      </w:hyperlink>
                    </w:p>
                  </w:txbxContent>
                </v:textbox>
                <w10:wrap anchorx="margin" anchory="margin"/>
                <w10:anchorlock/>
              </v:shape>
            </w:pict>
          </mc:Fallback>
        </mc:AlternateContent>
      </w:r>
      <w:r>
        <w:rPr>
          <w:rFonts w:asciiTheme="minorHAnsi" w:hAnsiTheme="minorHAnsi"/>
          <w:sz w:val="24"/>
          <w:szCs w:val="24"/>
        </w:rPr>
        <w:t xml:space="preserve">keeping and reporting.  If a state chooses these options that apply to owners/operators of </w:t>
      </w:r>
      <w:r>
        <w:rPr>
          <w:rFonts w:asciiTheme="minorHAnsi" w:hAnsiTheme="minorHAnsi"/>
          <w:sz w:val="24"/>
          <w:szCs w:val="24"/>
        </w:rPr>
        <w:lastRenderedPageBreak/>
        <w:t>Type 3 units, they also have the option to</w:t>
      </w:r>
      <w:r w:rsidRPr="00A2277A">
        <w:rPr>
          <w:rFonts w:asciiTheme="minorHAnsi" w:hAnsiTheme="minorHAnsi"/>
          <w:sz w:val="24"/>
          <w:szCs w:val="24"/>
        </w:rPr>
        <w:t xml:space="preserve"> adopt one or both of the following exemptions</w:t>
      </w:r>
      <w:r>
        <w:rPr>
          <w:rFonts w:asciiTheme="minorHAnsi" w:hAnsiTheme="minorHAnsi"/>
          <w:sz w:val="24"/>
          <w:szCs w:val="24"/>
        </w:rPr>
        <w:t>, for these owner/operator sections only (not for the sale of new units)</w:t>
      </w:r>
      <w:r w:rsidRPr="00380333">
        <w:rPr>
          <w:rFonts w:asciiTheme="minorHAnsi" w:hAnsiTheme="minorHAnsi"/>
          <w:sz w:val="24"/>
          <w:szCs w:val="24"/>
        </w:rPr>
        <w:t>:</w:t>
      </w:r>
    </w:p>
    <w:p w:rsidR="009B2F9B" w:rsidRPr="00A2277A" w:rsidRDefault="009B2F9B" w:rsidP="001B265F">
      <w:pPr>
        <w:pStyle w:val="PlainText"/>
        <w:numPr>
          <w:ilvl w:val="0"/>
          <w:numId w:val="22"/>
        </w:numPr>
        <w:jc w:val="both"/>
        <w:rPr>
          <w:rFonts w:asciiTheme="minorHAnsi" w:hAnsiTheme="minorHAnsi"/>
          <w:sz w:val="24"/>
          <w:szCs w:val="24"/>
        </w:rPr>
      </w:pPr>
      <w:r w:rsidRPr="00A2277A">
        <w:rPr>
          <w:rFonts w:asciiTheme="minorHAnsi" w:hAnsiTheme="minorHAnsi"/>
          <w:sz w:val="24"/>
          <w:szCs w:val="24"/>
        </w:rPr>
        <w:t>Units located in residential dwellings designed for 4 or fewer families;</w:t>
      </w:r>
    </w:p>
    <w:p w:rsidR="009B2F9B" w:rsidRPr="00D71A89" w:rsidRDefault="009B2F9B" w:rsidP="001B265F">
      <w:pPr>
        <w:pStyle w:val="ListParagraph"/>
        <w:numPr>
          <w:ilvl w:val="0"/>
          <w:numId w:val="22"/>
        </w:numPr>
        <w:spacing w:after="0" w:line="240" w:lineRule="auto"/>
        <w:contextualSpacing w:val="0"/>
        <w:jc w:val="both"/>
      </w:pPr>
      <w:r w:rsidRPr="00D71A89">
        <w:t>Units burning less than 9,000 therms of gas per calendar year based on gas bills;</w:t>
      </w:r>
    </w:p>
    <w:p w:rsidR="009B2F9B" w:rsidRPr="00A2277A" w:rsidRDefault="0025362E" w:rsidP="0025362E">
      <w:pPr>
        <w:pStyle w:val="Heading3"/>
      </w:pPr>
      <w:bookmarkStart w:id="268" w:name="_Toc461020984"/>
      <w:bookmarkStart w:id="269" w:name="_Toc461025649"/>
      <w:bookmarkStart w:id="270" w:name="_Toc461025858"/>
      <w:bookmarkStart w:id="271" w:name="_Toc461027128"/>
      <w:r>
        <w:t>3</w:t>
      </w:r>
      <w:r w:rsidR="009B2F9B">
        <w:t>.2.3</w:t>
      </w:r>
      <w:r>
        <w:tab/>
      </w:r>
      <w:r w:rsidR="009B2F9B">
        <w:tab/>
      </w:r>
      <w:r w:rsidR="009B2F9B" w:rsidRPr="00A2277A">
        <w:t>Emissions Reduction Benefit</w:t>
      </w:r>
      <w:bookmarkEnd w:id="268"/>
      <w:bookmarkEnd w:id="269"/>
      <w:bookmarkEnd w:id="270"/>
      <w:bookmarkEnd w:id="271"/>
    </w:p>
    <w:p w:rsidR="009B2F9B" w:rsidRDefault="009B2F9B" w:rsidP="0081054E">
      <w:pPr>
        <w:pStyle w:val="NoSpacing"/>
        <w:spacing w:after="120"/>
        <w:ind w:left="360"/>
        <w:jc w:val="both"/>
        <w:rPr>
          <w:rFonts w:asciiTheme="minorHAnsi" w:hAnsiTheme="minorHAnsi"/>
        </w:rPr>
      </w:pPr>
      <w:r>
        <w:rPr>
          <w:rFonts w:asciiTheme="minorHAnsi" w:hAnsiTheme="minorHAnsi"/>
        </w:rPr>
        <w:t>Emission Reductions for the OTR were estimated using the emission reduction calculations from</w:t>
      </w:r>
      <w:r w:rsidRPr="00A2277A">
        <w:rPr>
          <w:rFonts w:asciiTheme="minorHAnsi" w:hAnsiTheme="minorHAnsi"/>
        </w:rPr>
        <w:t xml:space="preserve"> the San Joaquin Valley Air Pollution Control District (SJVAPCD) </w:t>
      </w:r>
      <w:r>
        <w:rPr>
          <w:rFonts w:asciiTheme="minorHAnsi" w:hAnsiTheme="minorHAnsi"/>
        </w:rPr>
        <w:t>R</w:t>
      </w:r>
      <w:r w:rsidRPr="00A2277A">
        <w:rPr>
          <w:rFonts w:asciiTheme="minorHAnsi" w:hAnsiTheme="minorHAnsi"/>
        </w:rPr>
        <w:t>ule</w:t>
      </w:r>
      <w:r>
        <w:rPr>
          <w:rFonts w:asciiTheme="minorHAnsi" w:hAnsiTheme="minorHAnsi"/>
        </w:rPr>
        <w:t xml:space="preserve"> proposals for rules 4307 and</w:t>
      </w:r>
      <w:r w:rsidRPr="00A2277A">
        <w:rPr>
          <w:rFonts w:asciiTheme="minorHAnsi" w:hAnsiTheme="minorHAnsi"/>
        </w:rPr>
        <w:t xml:space="preserve"> 4308</w:t>
      </w:r>
      <w:r>
        <w:rPr>
          <w:rFonts w:asciiTheme="minorHAnsi" w:hAnsiTheme="minorHAnsi"/>
        </w:rPr>
        <w:t>, upon which the OTC model rule was based.  Estimates were calculated proportioning emission reductions by natural gas usage.  Since the rule regulates the sale of new units, emission reductions are achieved with the turnover of old units being replaced with new units.  The calculations assume a 15 year turnover rate starting in 2014.</w:t>
      </w:r>
    </w:p>
    <w:p w:rsidR="009B2F9B" w:rsidRDefault="009B2F9B" w:rsidP="0081054E">
      <w:pPr>
        <w:pStyle w:val="NoSpacing"/>
        <w:spacing w:after="120"/>
        <w:ind w:left="360"/>
        <w:jc w:val="both"/>
        <w:rPr>
          <w:rFonts w:asciiTheme="minorHAnsi" w:hAnsiTheme="minorHAnsi"/>
        </w:rPr>
      </w:pPr>
      <w:r>
        <w:rPr>
          <w:rFonts w:asciiTheme="minorHAnsi" w:hAnsiTheme="minorHAnsi"/>
        </w:rPr>
        <w:t>The results of these calculations are summarized below</w:t>
      </w:r>
      <w:r w:rsidR="0008573B">
        <w:rPr>
          <w:rFonts w:asciiTheme="minorHAnsi" w:hAnsiTheme="minorHAnsi"/>
        </w:rPr>
        <w:t xml:space="preserve"> in </w:t>
      </w:r>
      <w:r w:rsidR="006633FD">
        <w:rPr>
          <w:rFonts w:asciiTheme="minorHAnsi" w:hAnsiTheme="minorHAnsi"/>
        </w:rPr>
        <w:t>Table 3-6</w:t>
      </w:r>
      <w:r>
        <w:rPr>
          <w:rFonts w:asciiTheme="minorHAnsi" w:hAnsiTheme="minorHAnsi"/>
        </w:rPr>
        <w:t>:</w:t>
      </w:r>
    </w:p>
    <w:p w:rsidR="002E3B98" w:rsidRPr="002E3B98" w:rsidRDefault="002E3B98" w:rsidP="002E3B98">
      <w:pPr>
        <w:pStyle w:val="Caption"/>
        <w:keepNext/>
        <w:spacing w:before="120" w:after="120"/>
        <w:rPr>
          <w:rFonts w:asciiTheme="minorHAnsi" w:hAnsiTheme="minorHAnsi"/>
          <w:sz w:val="22"/>
          <w:szCs w:val="22"/>
        </w:rPr>
      </w:pPr>
      <w:bookmarkStart w:id="272" w:name="_Toc461106807"/>
      <w:r w:rsidRPr="002E3B98">
        <w:rPr>
          <w:rFonts w:asciiTheme="minorHAnsi" w:hAnsiTheme="minorHAnsi"/>
          <w:sz w:val="22"/>
          <w:szCs w:val="22"/>
        </w:rPr>
        <w:t>Table 3-6</w:t>
      </w:r>
      <w:r w:rsidR="00FD75BF">
        <w:rPr>
          <w:rFonts w:asciiTheme="minorHAnsi" w:hAnsiTheme="minorHAnsi"/>
          <w:sz w:val="22"/>
          <w:szCs w:val="22"/>
        </w:rPr>
        <w:tab/>
      </w:r>
      <w:r w:rsidR="00E041E3" w:rsidRPr="00E041E3">
        <w:rPr>
          <w:rFonts w:asciiTheme="minorHAnsi" w:hAnsiTheme="minorHAnsi"/>
          <w:sz w:val="22"/>
          <w:szCs w:val="22"/>
        </w:rPr>
        <w:t>Estimated NOx Reductions from New Small Boiler Rule</w:t>
      </w:r>
      <w:bookmarkEnd w:id="272"/>
    </w:p>
    <w:tbl>
      <w:tblPr>
        <w:tblW w:w="8905" w:type="dxa"/>
        <w:tblLook w:val="04A0" w:firstRow="1" w:lastRow="0" w:firstColumn="1" w:lastColumn="0" w:noHBand="0" w:noVBand="1"/>
      </w:tblPr>
      <w:tblGrid>
        <w:gridCol w:w="1923"/>
        <w:gridCol w:w="2302"/>
        <w:gridCol w:w="2340"/>
        <w:gridCol w:w="2340"/>
      </w:tblGrid>
      <w:tr w:rsidR="009B2F9B" w:rsidRPr="001B265F" w:rsidTr="001B265F">
        <w:trPr>
          <w:trHeight w:val="500"/>
        </w:trPr>
        <w:tc>
          <w:tcPr>
            <w:tcW w:w="890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2F9B" w:rsidRPr="001B265F" w:rsidRDefault="009B2F9B" w:rsidP="001B265F">
            <w:pPr>
              <w:spacing w:after="0" w:line="240" w:lineRule="auto"/>
              <w:jc w:val="center"/>
              <w:rPr>
                <w:rFonts w:asciiTheme="minorHAnsi" w:eastAsia="Times New Roman" w:hAnsiTheme="minorHAnsi" w:cs="Arial"/>
                <w:b/>
                <w:bCs/>
              </w:rPr>
            </w:pPr>
            <w:r w:rsidRPr="001B265F">
              <w:rPr>
                <w:rFonts w:asciiTheme="minorHAnsi" w:eastAsia="Times New Roman" w:hAnsiTheme="minorHAnsi" w:cs="Arial"/>
                <w:b/>
                <w:bCs/>
              </w:rPr>
              <w:t>Estimated NOx Reductions from New Small Boiler Rule (1)</w:t>
            </w:r>
          </w:p>
        </w:tc>
      </w:tr>
      <w:tr w:rsidR="009B2F9B" w:rsidRPr="001B265F" w:rsidTr="001B265F">
        <w:trPr>
          <w:trHeight w:val="780"/>
        </w:trPr>
        <w:tc>
          <w:tcPr>
            <w:tcW w:w="1923" w:type="dxa"/>
            <w:tcBorders>
              <w:top w:val="nil"/>
              <w:left w:val="single" w:sz="4" w:space="0" w:color="auto"/>
              <w:bottom w:val="single" w:sz="4" w:space="0" w:color="auto"/>
              <w:right w:val="single" w:sz="4" w:space="0" w:color="auto"/>
            </w:tcBorders>
            <w:shd w:val="clear" w:color="auto" w:fill="auto"/>
            <w:noWrap/>
            <w:vAlign w:val="center"/>
            <w:hideMark/>
          </w:tcPr>
          <w:p w:rsidR="009B2F9B" w:rsidRPr="001B265F" w:rsidRDefault="009B2F9B" w:rsidP="001B265F">
            <w:pPr>
              <w:spacing w:after="0" w:line="240" w:lineRule="auto"/>
              <w:rPr>
                <w:rFonts w:asciiTheme="minorHAnsi" w:eastAsia="Times New Roman" w:hAnsiTheme="minorHAnsi" w:cs="Arial"/>
                <w:b/>
                <w:bCs/>
              </w:rPr>
            </w:pPr>
            <w:r w:rsidRPr="001B265F">
              <w:rPr>
                <w:rFonts w:asciiTheme="minorHAnsi" w:eastAsia="Times New Roman" w:hAnsiTheme="minorHAnsi" w:cs="Arial"/>
                <w:b/>
                <w:bCs/>
              </w:rPr>
              <w:t>OTC States</w:t>
            </w:r>
          </w:p>
        </w:tc>
        <w:tc>
          <w:tcPr>
            <w:tcW w:w="2302" w:type="dxa"/>
            <w:tcBorders>
              <w:top w:val="nil"/>
              <w:left w:val="nil"/>
              <w:bottom w:val="single" w:sz="4" w:space="0" w:color="auto"/>
              <w:right w:val="single" w:sz="4" w:space="0" w:color="auto"/>
            </w:tcBorders>
            <w:shd w:val="clear" w:color="auto" w:fill="auto"/>
            <w:vAlign w:val="center"/>
            <w:hideMark/>
          </w:tcPr>
          <w:p w:rsidR="009B2F9B" w:rsidRPr="001B265F" w:rsidRDefault="009B2F9B" w:rsidP="001B265F">
            <w:pPr>
              <w:spacing w:after="0" w:line="240" w:lineRule="auto"/>
              <w:rPr>
                <w:rFonts w:asciiTheme="minorHAnsi" w:eastAsia="Times New Roman" w:hAnsiTheme="minorHAnsi" w:cs="Arial"/>
                <w:b/>
                <w:bCs/>
              </w:rPr>
            </w:pPr>
            <w:r w:rsidRPr="001B265F">
              <w:rPr>
                <w:rFonts w:asciiTheme="minorHAnsi" w:eastAsia="Times New Roman" w:hAnsiTheme="minorHAnsi" w:cs="Arial"/>
                <w:b/>
                <w:bCs/>
              </w:rPr>
              <w:t xml:space="preserve">2029 Total Emission Reduction Estimates </w:t>
            </w:r>
            <w:r w:rsidRPr="001B265F">
              <w:rPr>
                <w:rFonts w:asciiTheme="minorHAnsi" w:eastAsia="Times New Roman" w:hAnsiTheme="minorHAnsi" w:cs="Arial"/>
                <w:b/>
                <w:bCs/>
              </w:rPr>
              <w:br/>
              <w:t>(tons per year)</w:t>
            </w:r>
          </w:p>
        </w:tc>
        <w:tc>
          <w:tcPr>
            <w:tcW w:w="2340" w:type="dxa"/>
            <w:tcBorders>
              <w:top w:val="nil"/>
              <w:left w:val="nil"/>
              <w:bottom w:val="single" w:sz="4" w:space="0" w:color="auto"/>
              <w:right w:val="single" w:sz="4" w:space="0" w:color="auto"/>
            </w:tcBorders>
            <w:shd w:val="clear" w:color="auto" w:fill="auto"/>
            <w:vAlign w:val="center"/>
            <w:hideMark/>
          </w:tcPr>
          <w:p w:rsidR="009B2F9B" w:rsidRPr="001B265F" w:rsidRDefault="009B2F9B" w:rsidP="001B265F">
            <w:pPr>
              <w:spacing w:after="0" w:line="240" w:lineRule="auto"/>
              <w:rPr>
                <w:rFonts w:asciiTheme="minorHAnsi" w:eastAsia="Times New Roman" w:hAnsiTheme="minorHAnsi" w:cs="Arial"/>
                <w:b/>
                <w:bCs/>
              </w:rPr>
            </w:pPr>
            <w:r w:rsidRPr="001B265F">
              <w:rPr>
                <w:rFonts w:asciiTheme="minorHAnsi" w:eastAsia="Times New Roman" w:hAnsiTheme="minorHAnsi" w:cs="Arial"/>
                <w:b/>
                <w:bCs/>
              </w:rPr>
              <w:t>2029 Total Emission Reduction Estimates (tons per day)</w:t>
            </w:r>
          </w:p>
        </w:tc>
        <w:tc>
          <w:tcPr>
            <w:tcW w:w="2340" w:type="dxa"/>
            <w:tcBorders>
              <w:top w:val="nil"/>
              <w:left w:val="nil"/>
              <w:bottom w:val="single" w:sz="4" w:space="0" w:color="auto"/>
              <w:right w:val="single" w:sz="4" w:space="0" w:color="auto"/>
            </w:tcBorders>
            <w:shd w:val="clear" w:color="auto" w:fill="auto"/>
            <w:vAlign w:val="center"/>
            <w:hideMark/>
          </w:tcPr>
          <w:p w:rsidR="009B2F9B" w:rsidRPr="001B265F" w:rsidRDefault="009B2F9B" w:rsidP="001B265F">
            <w:pPr>
              <w:spacing w:after="0" w:line="240" w:lineRule="auto"/>
              <w:rPr>
                <w:rFonts w:asciiTheme="minorHAnsi" w:eastAsia="Times New Roman" w:hAnsiTheme="minorHAnsi" w:cs="Arial"/>
                <w:b/>
                <w:bCs/>
              </w:rPr>
            </w:pPr>
            <w:r w:rsidRPr="001B265F">
              <w:rPr>
                <w:rFonts w:asciiTheme="minorHAnsi" w:eastAsia="Times New Roman" w:hAnsiTheme="minorHAnsi" w:cs="Arial"/>
                <w:b/>
                <w:bCs/>
              </w:rPr>
              <w:t xml:space="preserve">2021 Total Emission Reduction Estimates </w:t>
            </w:r>
            <w:r w:rsidRPr="001B265F">
              <w:rPr>
                <w:rFonts w:asciiTheme="minorHAnsi" w:eastAsia="Times New Roman" w:hAnsiTheme="minorHAnsi" w:cs="Arial"/>
                <w:b/>
                <w:bCs/>
              </w:rPr>
              <w:br/>
              <w:t>(tons per day)</w:t>
            </w:r>
          </w:p>
        </w:tc>
      </w:tr>
      <w:tr w:rsidR="009B2F9B" w:rsidRPr="001B265F" w:rsidTr="001B265F">
        <w:trPr>
          <w:trHeight w:val="260"/>
        </w:trPr>
        <w:tc>
          <w:tcPr>
            <w:tcW w:w="1923" w:type="dxa"/>
            <w:tcBorders>
              <w:top w:val="nil"/>
              <w:left w:val="single" w:sz="4" w:space="0" w:color="auto"/>
              <w:bottom w:val="single" w:sz="4" w:space="0" w:color="auto"/>
              <w:right w:val="single" w:sz="4" w:space="0" w:color="auto"/>
            </w:tcBorders>
            <w:shd w:val="clear" w:color="auto" w:fill="auto"/>
            <w:noWrap/>
            <w:vAlign w:val="center"/>
            <w:hideMark/>
          </w:tcPr>
          <w:p w:rsidR="009B2F9B" w:rsidRPr="001B265F" w:rsidRDefault="009B2F9B" w:rsidP="001B265F">
            <w:pPr>
              <w:spacing w:after="0" w:line="240" w:lineRule="auto"/>
              <w:rPr>
                <w:rFonts w:asciiTheme="minorHAnsi" w:eastAsia="Times New Roman" w:hAnsiTheme="minorHAnsi" w:cs="Arial"/>
                <w:b/>
                <w:bCs/>
              </w:rPr>
            </w:pPr>
            <w:r w:rsidRPr="001B265F">
              <w:rPr>
                <w:rFonts w:asciiTheme="minorHAnsi" w:eastAsia="Times New Roman" w:hAnsiTheme="minorHAnsi" w:cs="Arial"/>
                <w:b/>
                <w:bCs/>
              </w:rPr>
              <w:t> </w:t>
            </w:r>
          </w:p>
        </w:tc>
        <w:tc>
          <w:tcPr>
            <w:tcW w:w="2302" w:type="dxa"/>
            <w:tcBorders>
              <w:top w:val="nil"/>
              <w:left w:val="nil"/>
              <w:bottom w:val="single" w:sz="4" w:space="0" w:color="auto"/>
              <w:right w:val="single" w:sz="4" w:space="0" w:color="auto"/>
            </w:tcBorders>
            <w:shd w:val="clear" w:color="auto" w:fill="auto"/>
            <w:noWrap/>
            <w:vAlign w:val="center"/>
            <w:hideMark/>
          </w:tcPr>
          <w:p w:rsidR="009B2F9B" w:rsidRPr="001B265F" w:rsidRDefault="009B2F9B" w:rsidP="001B265F">
            <w:pPr>
              <w:spacing w:after="0" w:line="240" w:lineRule="auto"/>
              <w:rPr>
                <w:rFonts w:asciiTheme="minorHAnsi" w:eastAsia="Times New Roman" w:hAnsiTheme="minorHAnsi" w:cs="Arial"/>
                <w:b/>
                <w:bCs/>
              </w:rPr>
            </w:pPr>
            <w:r w:rsidRPr="001B265F">
              <w:rPr>
                <w:rFonts w:asciiTheme="minorHAnsi" w:eastAsia="Times New Roman" w:hAnsiTheme="minorHAnsi" w:cs="Arial"/>
                <w:b/>
                <w:bCs/>
              </w:rPr>
              <w:t>Annual</w:t>
            </w:r>
          </w:p>
        </w:tc>
        <w:tc>
          <w:tcPr>
            <w:tcW w:w="2340" w:type="dxa"/>
            <w:tcBorders>
              <w:top w:val="nil"/>
              <w:left w:val="nil"/>
              <w:bottom w:val="single" w:sz="4" w:space="0" w:color="auto"/>
              <w:right w:val="single" w:sz="4" w:space="0" w:color="auto"/>
            </w:tcBorders>
            <w:shd w:val="clear" w:color="auto" w:fill="auto"/>
            <w:noWrap/>
            <w:vAlign w:val="center"/>
            <w:hideMark/>
          </w:tcPr>
          <w:p w:rsidR="009B2F9B" w:rsidRPr="001B265F" w:rsidRDefault="009B2F9B" w:rsidP="001B265F">
            <w:pPr>
              <w:spacing w:after="0" w:line="240" w:lineRule="auto"/>
              <w:rPr>
                <w:rFonts w:asciiTheme="minorHAnsi" w:eastAsia="Times New Roman" w:hAnsiTheme="minorHAnsi" w:cs="Arial"/>
                <w:b/>
                <w:bCs/>
              </w:rPr>
            </w:pPr>
            <w:r w:rsidRPr="001B265F">
              <w:rPr>
                <w:rFonts w:asciiTheme="minorHAnsi" w:eastAsia="Times New Roman" w:hAnsiTheme="minorHAnsi" w:cs="Arial"/>
                <w:b/>
                <w:bCs/>
              </w:rPr>
              <w:t>Summer</w:t>
            </w:r>
          </w:p>
        </w:tc>
        <w:tc>
          <w:tcPr>
            <w:tcW w:w="2340" w:type="dxa"/>
            <w:tcBorders>
              <w:top w:val="nil"/>
              <w:left w:val="nil"/>
              <w:bottom w:val="single" w:sz="4" w:space="0" w:color="auto"/>
              <w:right w:val="single" w:sz="4" w:space="0" w:color="auto"/>
            </w:tcBorders>
            <w:shd w:val="clear" w:color="auto" w:fill="auto"/>
            <w:noWrap/>
            <w:vAlign w:val="center"/>
            <w:hideMark/>
          </w:tcPr>
          <w:p w:rsidR="009B2F9B" w:rsidRPr="001B265F" w:rsidRDefault="009B2F9B" w:rsidP="001B265F">
            <w:pPr>
              <w:spacing w:after="0" w:line="240" w:lineRule="auto"/>
              <w:rPr>
                <w:rFonts w:asciiTheme="minorHAnsi" w:eastAsia="Times New Roman" w:hAnsiTheme="minorHAnsi" w:cs="Arial"/>
                <w:b/>
                <w:bCs/>
              </w:rPr>
            </w:pPr>
            <w:r w:rsidRPr="001B265F">
              <w:rPr>
                <w:rFonts w:asciiTheme="minorHAnsi" w:eastAsia="Times New Roman" w:hAnsiTheme="minorHAnsi" w:cs="Arial"/>
                <w:b/>
                <w:bCs/>
              </w:rPr>
              <w:t>Summer</w:t>
            </w:r>
          </w:p>
        </w:tc>
      </w:tr>
      <w:tr w:rsidR="009B2F9B" w:rsidRPr="001B265F" w:rsidTr="001B265F">
        <w:trPr>
          <w:trHeight w:val="250"/>
        </w:trPr>
        <w:tc>
          <w:tcPr>
            <w:tcW w:w="1923" w:type="dxa"/>
            <w:tcBorders>
              <w:top w:val="nil"/>
              <w:left w:val="single" w:sz="4" w:space="0" w:color="auto"/>
              <w:bottom w:val="single" w:sz="4" w:space="0" w:color="auto"/>
              <w:right w:val="single" w:sz="4" w:space="0" w:color="auto"/>
            </w:tcBorders>
            <w:shd w:val="clear" w:color="auto" w:fill="auto"/>
            <w:noWrap/>
            <w:vAlign w:val="center"/>
            <w:hideMark/>
          </w:tcPr>
          <w:p w:rsidR="009B2F9B" w:rsidRPr="001B265F" w:rsidRDefault="009B2F9B" w:rsidP="001B265F">
            <w:pPr>
              <w:spacing w:after="0" w:line="240" w:lineRule="auto"/>
              <w:rPr>
                <w:rFonts w:asciiTheme="minorHAnsi" w:eastAsia="Times New Roman" w:hAnsiTheme="minorHAnsi" w:cs="Arial"/>
              </w:rPr>
            </w:pPr>
            <w:r w:rsidRPr="001B265F">
              <w:rPr>
                <w:rFonts w:asciiTheme="minorHAnsi" w:eastAsia="Times New Roman" w:hAnsiTheme="minorHAnsi" w:cs="Arial"/>
              </w:rPr>
              <w:t>Connecticut</w:t>
            </w:r>
          </w:p>
        </w:tc>
        <w:tc>
          <w:tcPr>
            <w:tcW w:w="2302" w:type="dxa"/>
            <w:tcBorders>
              <w:top w:val="nil"/>
              <w:left w:val="nil"/>
              <w:bottom w:val="single" w:sz="4" w:space="0" w:color="auto"/>
              <w:right w:val="single" w:sz="4" w:space="0" w:color="auto"/>
            </w:tcBorders>
            <w:shd w:val="clear" w:color="auto" w:fill="auto"/>
            <w:noWrap/>
            <w:vAlign w:val="center"/>
            <w:hideMark/>
          </w:tcPr>
          <w:p w:rsidR="009B2F9B" w:rsidRPr="001B265F" w:rsidRDefault="009B2F9B" w:rsidP="001B265F">
            <w:pPr>
              <w:spacing w:after="0" w:line="240" w:lineRule="auto"/>
              <w:rPr>
                <w:rFonts w:asciiTheme="minorHAnsi" w:eastAsia="Times New Roman" w:hAnsiTheme="minorHAnsi" w:cs="Arial"/>
              </w:rPr>
            </w:pPr>
            <w:r w:rsidRPr="001B265F">
              <w:rPr>
                <w:rFonts w:asciiTheme="minorHAnsi" w:eastAsia="Times New Roman" w:hAnsiTheme="minorHAnsi" w:cs="Arial"/>
              </w:rPr>
              <w:t>917</w:t>
            </w:r>
          </w:p>
        </w:tc>
        <w:tc>
          <w:tcPr>
            <w:tcW w:w="2340" w:type="dxa"/>
            <w:tcBorders>
              <w:top w:val="nil"/>
              <w:left w:val="nil"/>
              <w:bottom w:val="single" w:sz="4" w:space="0" w:color="auto"/>
              <w:right w:val="single" w:sz="4" w:space="0" w:color="auto"/>
            </w:tcBorders>
            <w:shd w:val="clear" w:color="auto" w:fill="auto"/>
            <w:noWrap/>
            <w:vAlign w:val="center"/>
            <w:hideMark/>
          </w:tcPr>
          <w:p w:rsidR="009B2F9B" w:rsidRPr="001B265F" w:rsidRDefault="009B2F9B" w:rsidP="001B265F">
            <w:pPr>
              <w:spacing w:after="0" w:line="240" w:lineRule="auto"/>
              <w:rPr>
                <w:rFonts w:asciiTheme="minorHAnsi" w:eastAsia="Times New Roman" w:hAnsiTheme="minorHAnsi" w:cs="Arial"/>
              </w:rPr>
            </w:pPr>
            <w:r w:rsidRPr="001B265F">
              <w:rPr>
                <w:rFonts w:asciiTheme="minorHAnsi" w:eastAsia="Times New Roman" w:hAnsiTheme="minorHAnsi" w:cs="Arial"/>
              </w:rPr>
              <w:t>1.46</w:t>
            </w:r>
          </w:p>
        </w:tc>
        <w:tc>
          <w:tcPr>
            <w:tcW w:w="2340" w:type="dxa"/>
            <w:tcBorders>
              <w:top w:val="nil"/>
              <w:left w:val="nil"/>
              <w:bottom w:val="single" w:sz="4" w:space="0" w:color="auto"/>
              <w:right w:val="single" w:sz="4" w:space="0" w:color="auto"/>
            </w:tcBorders>
            <w:shd w:val="clear" w:color="auto" w:fill="auto"/>
            <w:noWrap/>
            <w:vAlign w:val="center"/>
            <w:hideMark/>
          </w:tcPr>
          <w:p w:rsidR="009B2F9B" w:rsidRPr="001B265F" w:rsidRDefault="009B2F9B" w:rsidP="001B265F">
            <w:pPr>
              <w:spacing w:after="0" w:line="240" w:lineRule="auto"/>
              <w:rPr>
                <w:rFonts w:asciiTheme="minorHAnsi" w:eastAsia="Times New Roman" w:hAnsiTheme="minorHAnsi" w:cs="Arial"/>
              </w:rPr>
            </w:pPr>
            <w:r w:rsidRPr="001B265F">
              <w:rPr>
                <w:rFonts w:asciiTheme="minorHAnsi" w:eastAsia="Times New Roman" w:hAnsiTheme="minorHAnsi" w:cs="Arial"/>
              </w:rPr>
              <w:t>0.73</w:t>
            </w:r>
          </w:p>
        </w:tc>
      </w:tr>
      <w:tr w:rsidR="009B2F9B" w:rsidRPr="001B265F" w:rsidTr="001B265F">
        <w:trPr>
          <w:trHeight w:val="250"/>
        </w:trPr>
        <w:tc>
          <w:tcPr>
            <w:tcW w:w="1923" w:type="dxa"/>
            <w:tcBorders>
              <w:top w:val="nil"/>
              <w:left w:val="single" w:sz="4" w:space="0" w:color="auto"/>
              <w:bottom w:val="single" w:sz="4" w:space="0" w:color="auto"/>
              <w:right w:val="single" w:sz="4" w:space="0" w:color="auto"/>
            </w:tcBorders>
            <w:shd w:val="clear" w:color="auto" w:fill="auto"/>
            <w:noWrap/>
            <w:vAlign w:val="center"/>
            <w:hideMark/>
          </w:tcPr>
          <w:p w:rsidR="009B2F9B" w:rsidRPr="001B265F" w:rsidRDefault="009B2F9B" w:rsidP="001B265F">
            <w:pPr>
              <w:spacing w:after="0" w:line="240" w:lineRule="auto"/>
              <w:rPr>
                <w:rFonts w:asciiTheme="minorHAnsi" w:eastAsia="Times New Roman" w:hAnsiTheme="minorHAnsi" w:cs="Arial"/>
              </w:rPr>
            </w:pPr>
            <w:r w:rsidRPr="001B265F">
              <w:rPr>
                <w:rFonts w:asciiTheme="minorHAnsi" w:eastAsia="Times New Roman" w:hAnsiTheme="minorHAnsi" w:cs="Arial"/>
              </w:rPr>
              <w:t>Delaware</w:t>
            </w:r>
          </w:p>
        </w:tc>
        <w:tc>
          <w:tcPr>
            <w:tcW w:w="2302" w:type="dxa"/>
            <w:tcBorders>
              <w:top w:val="nil"/>
              <w:left w:val="nil"/>
              <w:bottom w:val="single" w:sz="4" w:space="0" w:color="auto"/>
              <w:right w:val="single" w:sz="4" w:space="0" w:color="auto"/>
            </w:tcBorders>
            <w:shd w:val="clear" w:color="auto" w:fill="auto"/>
            <w:noWrap/>
            <w:vAlign w:val="center"/>
            <w:hideMark/>
          </w:tcPr>
          <w:p w:rsidR="009B2F9B" w:rsidRPr="001B265F" w:rsidRDefault="009B2F9B" w:rsidP="001B265F">
            <w:pPr>
              <w:spacing w:after="0" w:line="240" w:lineRule="auto"/>
              <w:rPr>
                <w:rFonts w:asciiTheme="minorHAnsi" w:eastAsia="Times New Roman" w:hAnsiTheme="minorHAnsi" w:cs="Arial"/>
              </w:rPr>
            </w:pPr>
            <w:r w:rsidRPr="001B265F">
              <w:rPr>
                <w:rFonts w:asciiTheme="minorHAnsi" w:eastAsia="Times New Roman" w:hAnsiTheme="minorHAnsi" w:cs="Arial"/>
              </w:rPr>
              <w:t>252</w:t>
            </w:r>
          </w:p>
        </w:tc>
        <w:tc>
          <w:tcPr>
            <w:tcW w:w="2340" w:type="dxa"/>
            <w:tcBorders>
              <w:top w:val="nil"/>
              <w:left w:val="nil"/>
              <w:bottom w:val="single" w:sz="4" w:space="0" w:color="auto"/>
              <w:right w:val="single" w:sz="4" w:space="0" w:color="auto"/>
            </w:tcBorders>
            <w:shd w:val="clear" w:color="auto" w:fill="auto"/>
            <w:noWrap/>
            <w:vAlign w:val="center"/>
            <w:hideMark/>
          </w:tcPr>
          <w:p w:rsidR="009B2F9B" w:rsidRPr="001B265F" w:rsidRDefault="009B2F9B" w:rsidP="001B265F">
            <w:pPr>
              <w:spacing w:after="0" w:line="240" w:lineRule="auto"/>
              <w:rPr>
                <w:rFonts w:asciiTheme="minorHAnsi" w:eastAsia="Times New Roman" w:hAnsiTheme="minorHAnsi" w:cs="Arial"/>
              </w:rPr>
            </w:pPr>
            <w:r w:rsidRPr="001B265F">
              <w:rPr>
                <w:rFonts w:asciiTheme="minorHAnsi" w:eastAsia="Times New Roman" w:hAnsiTheme="minorHAnsi" w:cs="Arial"/>
              </w:rPr>
              <w:t>0.40</w:t>
            </w:r>
          </w:p>
        </w:tc>
        <w:tc>
          <w:tcPr>
            <w:tcW w:w="2340" w:type="dxa"/>
            <w:tcBorders>
              <w:top w:val="nil"/>
              <w:left w:val="nil"/>
              <w:bottom w:val="single" w:sz="4" w:space="0" w:color="auto"/>
              <w:right w:val="single" w:sz="4" w:space="0" w:color="auto"/>
            </w:tcBorders>
            <w:shd w:val="clear" w:color="auto" w:fill="auto"/>
            <w:noWrap/>
            <w:vAlign w:val="center"/>
            <w:hideMark/>
          </w:tcPr>
          <w:p w:rsidR="009B2F9B" w:rsidRPr="001B265F" w:rsidRDefault="009B2F9B" w:rsidP="001B265F">
            <w:pPr>
              <w:spacing w:after="0" w:line="240" w:lineRule="auto"/>
              <w:rPr>
                <w:rFonts w:asciiTheme="minorHAnsi" w:eastAsia="Times New Roman" w:hAnsiTheme="minorHAnsi" w:cs="Arial"/>
              </w:rPr>
            </w:pPr>
            <w:r w:rsidRPr="001B265F">
              <w:rPr>
                <w:rFonts w:asciiTheme="minorHAnsi" w:eastAsia="Times New Roman" w:hAnsiTheme="minorHAnsi" w:cs="Arial"/>
              </w:rPr>
              <w:t>0.20</w:t>
            </w:r>
          </w:p>
        </w:tc>
      </w:tr>
      <w:tr w:rsidR="009B2F9B" w:rsidRPr="001B265F" w:rsidTr="001B265F">
        <w:trPr>
          <w:trHeight w:val="250"/>
        </w:trPr>
        <w:tc>
          <w:tcPr>
            <w:tcW w:w="1923" w:type="dxa"/>
            <w:tcBorders>
              <w:top w:val="nil"/>
              <w:left w:val="single" w:sz="4" w:space="0" w:color="auto"/>
              <w:bottom w:val="single" w:sz="4" w:space="0" w:color="auto"/>
              <w:right w:val="single" w:sz="4" w:space="0" w:color="auto"/>
            </w:tcBorders>
            <w:shd w:val="clear" w:color="auto" w:fill="auto"/>
            <w:noWrap/>
            <w:vAlign w:val="center"/>
            <w:hideMark/>
          </w:tcPr>
          <w:p w:rsidR="009B2F9B" w:rsidRPr="001B265F" w:rsidRDefault="009B2F9B" w:rsidP="001B265F">
            <w:pPr>
              <w:spacing w:after="0" w:line="240" w:lineRule="auto"/>
              <w:rPr>
                <w:rFonts w:asciiTheme="minorHAnsi" w:eastAsia="Times New Roman" w:hAnsiTheme="minorHAnsi" w:cs="Arial"/>
              </w:rPr>
            </w:pPr>
            <w:r w:rsidRPr="001B265F">
              <w:rPr>
                <w:rFonts w:asciiTheme="minorHAnsi" w:eastAsia="Times New Roman" w:hAnsiTheme="minorHAnsi" w:cs="Arial"/>
              </w:rPr>
              <w:t>D.C.</w:t>
            </w:r>
          </w:p>
        </w:tc>
        <w:tc>
          <w:tcPr>
            <w:tcW w:w="2302" w:type="dxa"/>
            <w:tcBorders>
              <w:top w:val="nil"/>
              <w:left w:val="nil"/>
              <w:bottom w:val="single" w:sz="4" w:space="0" w:color="auto"/>
              <w:right w:val="single" w:sz="4" w:space="0" w:color="auto"/>
            </w:tcBorders>
            <w:shd w:val="clear" w:color="auto" w:fill="auto"/>
            <w:noWrap/>
            <w:vAlign w:val="center"/>
            <w:hideMark/>
          </w:tcPr>
          <w:p w:rsidR="009B2F9B" w:rsidRPr="001B265F" w:rsidRDefault="009B2F9B" w:rsidP="001B265F">
            <w:pPr>
              <w:spacing w:after="0" w:line="240" w:lineRule="auto"/>
              <w:rPr>
                <w:rFonts w:asciiTheme="minorHAnsi" w:eastAsia="Times New Roman" w:hAnsiTheme="minorHAnsi" w:cs="Arial"/>
              </w:rPr>
            </w:pPr>
            <w:r w:rsidRPr="001B265F">
              <w:rPr>
                <w:rFonts w:asciiTheme="minorHAnsi" w:eastAsia="Times New Roman" w:hAnsiTheme="minorHAnsi" w:cs="Arial"/>
              </w:rPr>
              <w:t>153</w:t>
            </w:r>
          </w:p>
        </w:tc>
        <w:tc>
          <w:tcPr>
            <w:tcW w:w="2340" w:type="dxa"/>
            <w:tcBorders>
              <w:top w:val="nil"/>
              <w:left w:val="nil"/>
              <w:bottom w:val="single" w:sz="4" w:space="0" w:color="auto"/>
              <w:right w:val="single" w:sz="4" w:space="0" w:color="auto"/>
            </w:tcBorders>
            <w:shd w:val="clear" w:color="auto" w:fill="auto"/>
            <w:noWrap/>
            <w:vAlign w:val="center"/>
            <w:hideMark/>
          </w:tcPr>
          <w:p w:rsidR="009B2F9B" w:rsidRPr="001B265F" w:rsidRDefault="009B2F9B" w:rsidP="001B265F">
            <w:pPr>
              <w:spacing w:after="0" w:line="240" w:lineRule="auto"/>
              <w:rPr>
                <w:rFonts w:asciiTheme="minorHAnsi" w:eastAsia="Times New Roman" w:hAnsiTheme="minorHAnsi" w:cs="Arial"/>
              </w:rPr>
            </w:pPr>
            <w:r w:rsidRPr="001B265F">
              <w:rPr>
                <w:rFonts w:asciiTheme="minorHAnsi" w:eastAsia="Times New Roman" w:hAnsiTheme="minorHAnsi" w:cs="Arial"/>
              </w:rPr>
              <w:t>0.24</w:t>
            </w:r>
          </w:p>
        </w:tc>
        <w:tc>
          <w:tcPr>
            <w:tcW w:w="2340" w:type="dxa"/>
            <w:tcBorders>
              <w:top w:val="nil"/>
              <w:left w:val="nil"/>
              <w:bottom w:val="single" w:sz="4" w:space="0" w:color="auto"/>
              <w:right w:val="single" w:sz="4" w:space="0" w:color="auto"/>
            </w:tcBorders>
            <w:shd w:val="clear" w:color="auto" w:fill="auto"/>
            <w:noWrap/>
            <w:vAlign w:val="center"/>
            <w:hideMark/>
          </w:tcPr>
          <w:p w:rsidR="009B2F9B" w:rsidRPr="001B265F" w:rsidRDefault="009B2F9B" w:rsidP="001B265F">
            <w:pPr>
              <w:spacing w:after="0" w:line="240" w:lineRule="auto"/>
              <w:rPr>
                <w:rFonts w:asciiTheme="minorHAnsi" w:eastAsia="Times New Roman" w:hAnsiTheme="minorHAnsi" w:cs="Arial"/>
              </w:rPr>
            </w:pPr>
            <w:r w:rsidRPr="001B265F">
              <w:rPr>
                <w:rFonts w:asciiTheme="minorHAnsi" w:eastAsia="Times New Roman" w:hAnsiTheme="minorHAnsi" w:cs="Arial"/>
              </w:rPr>
              <w:t>0.12</w:t>
            </w:r>
          </w:p>
        </w:tc>
      </w:tr>
      <w:tr w:rsidR="009B2F9B" w:rsidRPr="001B265F" w:rsidTr="001B265F">
        <w:trPr>
          <w:trHeight w:val="250"/>
        </w:trPr>
        <w:tc>
          <w:tcPr>
            <w:tcW w:w="1923" w:type="dxa"/>
            <w:tcBorders>
              <w:top w:val="nil"/>
              <w:left w:val="single" w:sz="4" w:space="0" w:color="auto"/>
              <w:bottom w:val="single" w:sz="4" w:space="0" w:color="auto"/>
              <w:right w:val="single" w:sz="4" w:space="0" w:color="auto"/>
            </w:tcBorders>
            <w:shd w:val="clear" w:color="auto" w:fill="auto"/>
            <w:noWrap/>
            <w:vAlign w:val="center"/>
            <w:hideMark/>
          </w:tcPr>
          <w:p w:rsidR="009B2F9B" w:rsidRPr="001B265F" w:rsidRDefault="009B2F9B" w:rsidP="001B265F">
            <w:pPr>
              <w:spacing w:after="0" w:line="240" w:lineRule="auto"/>
              <w:rPr>
                <w:rFonts w:asciiTheme="minorHAnsi" w:eastAsia="Times New Roman" w:hAnsiTheme="minorHAnsi" w:cs="Arial"/>
              </w:rPr>
            </w:pPr>
            <w:r w:rsidRPr="001B265F">
              <w:rPr>
                <w:rFonts w:asciiTheme="minorHAnsi" w:eastAsia="Times New Roman" w:hAnsiTheme="minorHAnsi" w:cs="Arial"/>
              </w:rPr>
              <w:t>Maine</w:t>
            </w:r>
          </w:p>
        </w:tc>
        <w:tc>
          <w:tcPr>
            <w:tcW w:w="2302" w:type="dxa"/>
            <w:tcBorders>
              <w:top w:val="nil"/>
              <w:left w:val="nil"/>
              <w:bottom w:val="single" w:sz="4" w:space="0" w:color="auto"/>
              <w:right w:val="single" w:sz="4" w:space="0" w:color="auto"/>
            </w:tcBorders>
            <w:shd w:val="clear" w:color="auto" w:fill="auto"/>
            <w:noWrap/>
            <w:vAlign w:val="center"/>
            <w:hideMark/>
          </w:tcPr>
          <w:p w:rsidR="009B2F9B" w:rsidRPr="001B265F" w:rsidRDefault="009B2F9B" w:rsidP="001B265F">
            <w:pPr>
              <w:spacing w:after="0" w:line="240" w:lineRule="auto"/>
              <w:rPr>
                <w:rFonts w:asciiTheme="minorHAnsi" w:eastAsia="Times New Roman" w:hAnsiTheme="minorHAnsi" w:cs="Arial"/>
              </w:rPr>
            </w:pPr>
            <w:r w:rsidRPr="001B265F">
              <w:rPr>
                <w:rFonts w:asciiTheme="minorHAnsi" w:eastAsia="Times New Roman" w:hAnsiTheme="minorHAnsi" w:cs="Arial"/>
              </w:rPr>
              <w:t>357</w:t>
            </w:r>
          </w:p>
        </w:tc>
        <w:tc>
          <w:tcPr>
            <w:tcW w:w="2340" w:type="dxa"/>
            <w:tcBorders>
              <w:top w:val="nil"/>
              <w:left w:val="nil"/>
              <w:bottom w:val="single" w:sz="4" w:space="0" w:color="auto"/>
              <w:right w:val="single" w:sz="4" w:space="0" w:color="auto"/>
            </w:tcBorders>
            <w:shd w:val="clear" w:color="auto" w:fill="auto"/>
            <w:noWrap/>
            <w:vAlign w:val="center"/>
            <w:hideMark/>
          </w:tcPr>
          <w:p w:rsidR="009B2F9B" w:rsidRPr="001B265F" w:rsidRDefault="009B2F9B" w:rsidP="001B265F">
            <w:pPr>
              <w:spacing w:after="0" w:line="240" w:lineRule="auto"/>
              <w:rPr>
                <w:rFonts w:asciiTheme="minorHAnsi" w:eastAsia="Times New Roman" w:hAnsiTheme="minorHAnsi" w:cs="Arial"/>
              </w:rPr>
            </w:pPr>
            <w:r w:rsidRPr="001B265F">
              <w:rPr>
                <w:rFonts w:asciiTheme="minorHAnsi" w:eastAsia="Times New Roman" w:hAnsiTheme="minorHAnsi" w:cs="Arial"/>
              </w:rPr>
              <w:t>0.57</w:t>
            </w:r>
          </w:p>
        </w:tc>
        <w:tc>
          <w:tcPr>
            <w:tcW w:w="2340" w:type="dxa"/>
            <w:tcBorders>
              <w:top w:val="nil"/>
              <w:left w:val="nil"/>
              <w:bottom w:val="single" w:sz="4" w:space="0" w:color="auto"/>
              <w:right w:val="single" w:sz="4" w:space="0" w:color="auto"/>
            </w:tcBorders>
            <w:shd w:val="clear" w:color="auto" w:fill="auto"/>
            <w:noWrap/>
            <w:vAlign w:val="center"/>
            <w:hideMark/>
          </w:tcPr>
          <w:p w:rsidR="009B2F9B" w:rsidRPr="001B265F" w:rsidRDefault="009B2F9B" w:rsidP="001B265F">
            <w:pPr>
              <w:spacing w:after="0" w:line="240" w:lineRule="auto"/>
              <w:rPr>
                <w:rFonts w:asciiTheme="minorHAnsi" w:eastAsia="Times New Roman" w:hAnsiTheme="minorHAnsi" w:cs="Arial"/>
              </w:rPr>
            </w:pPr>
            <w:r w:rsidRPr="001B265F">
              <w:rPr>
                <w:rFonts w:asciiTheme="minorHAnsi" w:eastAsia="Times New Roman" w:hAnsiTheme="minorHAnsi" w:cs="Arial"/>
              </w:rPr>
              <w:t>0.28</w:t>
            </w:r>
          </w:p>
        </w:tc>
      </w:tr>
      <w:tr w:rsidR="009B2F9B" w:rsidRPr="001B265F" w:rsidTr="001B265F">
        <w:trPr>
          <w:trHeight w:val="250"/>
        </w:trPr>
        <w:tc>
          <w:tcPr>
            <w:tcW w:w="1923" w:type="dxa"/>
            <w:tcBorders>
              <w:top w:val="nil"/>
              <w:left w:val="single" w:sz="4" w:space="0" w:color="auto"/>
              <w:bottom w:val="single" w:sz="4" w:space="0" w:color="auto"/>
              <w:right w:val="single" w:sz="4" w:space="0" w:color="auto"/>
            </w:tcBorders>
            <w:shd w:val="clear" w:color="auto" w:fill="auto"/>
            <w:noWrap/>
            <w:vAlign w:val="center"/>
            <w:hideMark/>
          </w:tcPr>
          <w:p w:rsidR="009B2F9B" w:rsidRPr="001B265F" w:rsidRDefault="009B2F9B" w:rsidP="001B265F">
            <w:pPr>
              <w:spacing w:after="0" w:line="240" w:lineRule="auto"/>
              <w:rPr>
                <w:rFonts w:asciiTheme="minorHAnsi" w:eastAsia="Times New Roman" w:hAnsiTheme="minorHAnsi" w:cs="Arial"/>
              </w:rPr>
            </w:pPr>
            <w:r w:rsidRPr="001B265F">
              <w:rPr>
                <w:rFonts w:asciiTheme="minorHAnsi" w:eastAsia="Times New Roman" w:hAnsiTheme="minorHAnsi" w:cs="Arial"/>
              </w:rPr>
              <w:t>Maryland</w:t>
            </w:r>
          </w:p>
        </w:tc>
        <w:tc>
          <w:tcPr>
            <w:tcW w:w="2302" w:type="dxa"/>
            <w:tcBorders>
              <w:top w:val="nil"/>
              <w:left w:val="nil"/>
              <w:bottom w:val="single" w:sz="4" w:space="0" w:color="auto"/>
              <w:right w:val="single" w:sz="4" w:space="0" w:color="auto"/>
            </w:tcBorders>
            <w:shd w:val="clear" w:color="auto" w:fill="auto"/>
            <w:noWrap/>
            <w:vAlign w:val="center"/>
            <w:hideMark/>
          </w:tcPr>
          <w:p w:rsidR="009B2F9B" w:rsidRPr="001B265F" w:rsidRDefault="009B2F9B" w:rsidP="001B265F">
            <w:pPr>
              <w:spacing w:after="0" w:line="240" w:lineRule="auto"/>
              <w:rPr>
                <w:rFonts w:asciiTheme="minorHAnsi" w:eastAsia="Times New Roman" w:hAnsiTheme="minorHAnsi" w:cs="Arial"/>
              </w:rPr>
            </w:pPr>
            <w:r w:rsidRPr="001B265F">
              <w:rPr>
                <w:rFonts w:asciiTheme="minorHAnsi" w:eastAsia="Times New Roman" w:hAnsiTheme="minorHAnsi" w:cs="Arial"/>
              </w:rPr>
              <w:t>957</w:t>
            </w:r>
          </w:p>
        </w:tc>
        <w:tc>
          <w:tcPr>
            <w:tcW w:w="2340" w:type="dxa"/>
            <w:tcBorders>
              <w:top w:val="nil"/>
              <w:left w:val="nil"/>
              <w:bottom w:val="single" w:sz="4" w:space="0" w:color="auto"/>
              <w:right w:val="single" w:sz="4" w:space="0" w:color="auto"/>
            </w:tcBorders>
            <w:shd w:val="clear" w:color="auto" w:fill="auto"/>
            <w:noWrap/>
            <w:vAlign w:val="center"/>
            <w:hideMark/>
          </w:tcPr>
          <w:p w:rsidR="009B2F9B" w:rsidRPr="001B265F" w:rsidRDefault="009B2F9B" w:rsidP="001B265F">
            <w:pPr>
              <w:spacing w:after="0" w:line="240" w:lineRule="auto"/>
              <w:rPr>
                <w:rFonts w:asciiTheme="minorHAnsi" w:eastAsia="Times New Roman" w:hAnsiTheme="minorHAnsi" w:cs="Arial"/>
              </w:rPr>
            </w:pPr>
            <w:r w:rsidRPr="001B265F">
              <w:rPr>
                <w:rFonts w:asciiTheme="minorHAnsi" w:eastAsia="Times New Roman" w:hAnsiTheme="minorHAnsi" w:cs="Arial"/>
              </w:rPr>
              <w:t>1.53</w:t>
            </w:r>
          </w:p>
        </w:tc>
        <w:tc>
          <w:tcPr>
            <w:tcW w:w="2340" w:type="dxa"/>
            <w:tcBorders>
              <w:top w:val="nil"/>
              <w:left w:val="nil"/>
              <w:bottom w:val="single" w:sz="4" w:space="0" w:color="auto"/>
              <w:right w:val="single" w:sz="4" w:space="0" w:color="auto"/>
            </w:tcBorders>
            <w:shd w:val="clear" w:color="auto" w:fill="auto"/>
            <w:noWrap/>
            <w:vAlign w:val="center"/>
            <w:hideMark/>
          </w:tcPr>
          <w:p w:rsidR="009B2F9B" w:rsidRPr="001B265F" w:rsidRDefault="009B2F9B" w:rsidP="001B265F">
            <w:pPr>
              <w:spacing w:after="0" w:line="240" w:lineRule="auto"/>
              <w:rPr>
                <w:rFonts w:asciiTheme="minorHAnsi" w:eastAsia="Times New Roman" w:hAnsiTheme="minorHAnsi" w:cs="Arial"/>
              </w:rPr>
            </w:pPr>
            <w:r w:rsidRPr="001B265F">
              <w:rPr>
                <w:rFonts w:asciiTheme="minorHAnsi" w:eastAsia="Times New Roman" w:hAnsiTheme="minorHAnsi" w:cs="Arial"/>
              </w:rPr>
              <w:t>0.76</w:t>
            </w:r>
          </w:p>
        </w:tc>
      </w:tr>
      <w:tr w:rsidR="009B2F9B" w:rsidRPr="001B265F" w:rsidTr="001B265F">
        <w:trPr>
          <w:trHeight w:val="250"/>
        </w:trPr>
        <w:tc>
          <w:tcPr>
            <w:tcW w:w="1923" w:type="dxa"/>
            <w:tcBorders>
              <w:top w:val="nil"/>
              <w:left w:val="single" w:sz="4" w:space="0" w:color="auto"/>
              <w:bottom w:val="single" w:sz="4" w:space="0" w:color="auto"/>
              <w:right w:val="single" w:sz="4" w:space="0" w:color="auto"/>
            </w:tcBorders>
            <w:shd w:val="clear" w:color="auto" w:fill="auto"/>
            <w:noWrap/>
            <w:vAlign w:val="center"/>
            <w:hideMark/>
          </w:tcPr>
          <w:p w:rsidR="009B2F9B" w:rsidRPr="001B265F" w:rsidRDefault="009B2F9B" w:rsidP="001B265F">
            <w:pPr>
              <w:spacing w:after="0" w:line="240" w:lineRule="auto"/>
              <w:rPr>
                <w:rFonts w:asciiTheme="minorHAnsi" w:eastAsia="Times New Roman" w:hAnsiTheme="minorHAnsi" w:cs="Arial"/>
              </w:rPr>
            </w:pPr>
            <w:r w:rsidRPr="001B265F">
              <w:rPr>
                <w:rFonts w:asciiTheme="minorHAnsi" w:eastAsia="Times New Roman" w:hAnsiTheme="minorHAnsi" w:cs="Arial"/>
              </w:rPr>
              <w:t>Massachusetts</w:t>
            </w:r>
          </w:p>
        </w:tc>
        <w:tc>
          <w:tcPr>
            <w:tcW w:w="2302" w:type="dxa"/>
            <w:tcBorders>
              <w:top w:val="nil"/>
              <w:left w:val="nil"/>
              <w:bottom w:val="single" w:sz="4" w:space="0" w:color="auto"/>
              <w:right w:val="single" w:sz="4" w:space="0" w:color="auto"/>
            </w:tcBorders>
            <w:shd w:val="clear" w:color="auto" w:fill="auto"/>
            <w:noWrap/>
            <w:vAlign w:val="center"/>
            <w:hideMark/>
          </w:tcPr>
          <w:p w:rsidR="009B2F9B" w:rsidRPr="001B265F" w:rsidRDefault="009B2F9B" w:rsidP="001B265F">
            <w:pPr>
              <w:spacing w:after="0" w:line="240" w:lineRule="auto"/>
              <w:rPr>
                <w:rFonts w:asciiTheme="minorHAnsi" w:eastAsia="Times New Roman" w:hAnsiTheme="minorHAnsi" w:cs="Arial"/>
              </w:rPr>
            </w:pPr>
            <w:r w:rsidRPr="001B265F">
              <w:rPr>
                <w:rFonts w:asciiTheme="minorHAnsi" w:eastAsia="Times New Roman" w:hAnsiTheme="minorHAnsi" w:cs="Arial"/>
              </w:rPr>
              <w:t>1,978</w:t>
            </w:r>
          </w:p>
        </w:tc>
        <w:tc>
          <w:tcPr>
            <w:tcW w:w="2340" w:type="dxa"/>
            <w:tcBorders>
              <w:top w:val="nil"/>
              <w:left w:val="nil"/>
              <w:bottom w:val="single" w:sz="4" w:space="0" w:color="auto"/>
              <w:right w:val="single" w:sz="4" w:space="0" w:color="auto"/>
            </w:tcBorders>
            <w:shd w:val="clear" w:color="auto" w:fill="auto"/>
            <w:noWrap/>
            <w:vAlign w:val="center"/>
            <w:hideMark/>
          </w:tcPr>
          <w:p w:rsidR="009B2F9B" w:rsidRPr="001B265F" w:rsidRDefault="009B2F9B" w:rsidP="001B265F">
            <w:pPr>
              <w:spacing w:after="0" w:line="240" w:lineRule="auto"/>
              <w:rPr>
                <w:rFonts w:asciiTheme="minorHAnsi" w:eastAsia="Times New Roman" w:hAnsiTheme="minorHAnsi" w:cs="Arial"/>
              </w:rPr>
            </w:pPr>
            <w:r w:rsidRPr="001B265F">
              <w:rPr>
                <w:rFonts w:asciiTheme="minorHAnsi" w:eastAsia="Times New Roman" w:hAnsiTheme="minorHAnsi" w:cs="Arial"/>
              </w:rPr>
              <w:t>3.15</w:t>
            </w:r>
          </w:p>
        </w:tc>
        <w:tc>
          <w:tcPr>
            <w:tcW w:w="2340" w:type="dxa"/>
            <w:tcBorders>
              <w:top w:val="nil"/>
              <w:left w:val="nil"/>
              <w:bottom w:val="single" w:sz="4" w:space="0" w:color="auto"/>
              <w:right w:val="single" w:sz="4" w:space="0" w:color="auto"/>
            </w:tcBorders>
            <w:shd w:val="clear" w:color="auto" w:fill="auto"/>
            <w:noWrap/>
            <w:vAlign w:val="center"/>
            <w:hideMark/>
          </w:tcPr>
          <w:p w:rsidR="009B2F9B" w:rsidRPr="001B265F" w:rsidRDefault="009B2F9B" w:rsidP="001B265F">
            <w:pPr>
              <w:spacing w:after="0" w:line="240" w:lineRule="auto"/>
              <w:rPr>
                <w:rFonts w:asciiTheme="minorHAnsi" w:eastAsia="Times New Roman" w:hAnsiTheme="minorHAnsi" w:cs="Arial"/>
              </w:rPr>
            </w:pPr>
            <w:r w:rsidRPr="001B265F">
              <w:rPr>
                <w:rFonts w:asciiTheme="minorHAnsi" w:eastAsia="Times New Roman" w:hAnsiTheme="minorHAnsi" w:cs="Arial"/>
              </w:rPr>
              <w:t>1.58</w:t>
            </w:r>
          </w:p>
        </w:tc>
      </w:tr>
      <w:tr w:rsidR="009B2F9B" w:rsidRPr="001B265F" w:rsidTr="001B265F">
        <w:trPr>
          <w:trHeight w:val="250"/>
        </w:trPr>
        <w:tc>
          <w:tcPr>
            <w:tcW w:w="1923" w:type="dxa"/>
            <w:tcBorders>
              <w:top w:val="nil"/>
              <w:left w:val="single" w:sz="4" w:space="0" w:color="auto"/>
              <w:bottom w:val="single" w:sz="4" w:space="0" w:color="auto"/>
              <w:right w:val="single" w:sz="4" w:space="0" w:color="auto"/>
            </w:tcBorders>
            <w:shd w:val="clear" w:color="auto" w:fill="auto"/>
            <w:noWrap/>
            <w:vAlign w:val="center"/>
            <w:hideMark/>
          </w:tcPr>
          <w:p w:rsidR="009B2F9B" w:rsidRPr="001B265F" w:rsidRDefault="009B2F9B" w:rsidP="001B265F">
            <w:pPr>
              <w:spacing w:after="0" w:line="240" w:lineRule="auto"/>
              <w:rPr>
                <w:rFonts w:asciiTheme="minorHAnsi" w:eastAsia="Times New Roman" w:hAnsiTheme="minorHAnsi" w:cs="Arial"/>
              </w:rPr>
            </w:pPr>
            <w:r w:rsidRPr="001B265F">
              <w:rPr>
                <w:rFonts w:asciiTheme="minorHAnsi" w:eastAsia="Times New Roman" w:hAnsiTheme="minorHAnsi" w:cs="Arial"/>
              </w:rPr>
              <w:t>New Hampshire</w:t>
            </w:r>
          </w:p>
        </w:tc>
        <w:tc>
          <w:tcPr>
            <w:tcW w:w="2302" w:type="dxa"/>
            <w:tcBorders>
              <w:top w:val="nil"/>
              <w:left w:val="nil"/>
              <w:bottom w:val="single" w:sz="4" w:space="0" w:color="auto"/>
              <w:right w:val="single" w:sz="4" w:space="0" w:color="auto"/>
            </w:tcBorders>
            <w:shd w:val="clear" w:color="auto" w:fill="auto"/>
            <w:noWrap/>
            <w:vAlign w:val="center"/>
            <w:hideMark/>
          </w:tcPr>
          <w:p w:rsidR="009B2F9B" w:rsidRPr="001B265F" w:rsidRDefault="009B2F9B" w:rsidP="001B265F">
            <w:pPr>
              <w:spacing w:after="0" w:line="240" w:lineRule="auto"/>
              <w:rPr>
                <w:rFonts w:asciiTheme="minorHAnsi" w:eastAsia="Times New Roman" w:hAnsiTheme="minorHAnsi" w:cs="Arial"/>
              </w:rPr>
            </w:pPr>
            <w:r w:rsidRPr="001B265F">
              <w:rPr>
                <w:rFonts w:asciiTheme="minorHAnsi" w:eastAsia="Times New Roman" w:hAnsiTheme="minorHAnsi" w:cs="Arial"/>
              </w:rPr>
              <w:t>278</w:t>
            </w:r>
          </w:p>
        </w:tc>
        <w:tc>
          <w:tcPr>
            <w:tcW w:w="2340" w:type="dxa"/>
            <w:tcBorders>
              <w:top w:val="nil"/>
              <w:left w:val="nil"/>
              <w:bottom w:val="single" w:sz="4" w:space="0" w:color="auto"/>
              <w:right w:val="single" w:sz="4" w:space="0" w:color="auto"/>
            </w:tcBorders>
            <w:shd w:val="clear" w:color="auto" w:fill="auto"/>
            <w:noWrap/>
            <w:vAlign w:val="center"/>
            <w:hideMark/>
          </w:tcPr>
          <w:p w:rsidR="009B2F9B" w:rsidRPr="001B265F" w:rsidRDefault="009B2F9B" w:rsidP="001B265F">
            <w:pPr>
              <w:spacing w:after="0" w:line="240" w:lineRule="auto"/>
              <w:rPr>
                <w:rFonts w:asciiTheme="minorHAnsi" w:eastAsia="Times New Roman" w:hAnsiTheme="minorHAnsi" w:cs="Arial"/>
              </w:rPr>
            </w:pPr>
            <w:r w:rsidRPr="001B265F">
              <w:rPr>
                <w:rFonts w:asciiTheme="minorHAnsi" w:eastAsia="Times New Roman" w:hAnsiTheme="minorHAnsi" w:cs="Arial"/>
              </w:rPr>
              <w:t>0.44</w:t>
            </w:r>
          </w:p>
        </w:tc>
        <w:tc>
          <w:tcPr>
            <w:tcW w:w="2340" w:type="dxa"/>
            <w:tcBorders>
              <w:top w:val="nil"/>
              <w:left w:val="nil"/>
              <w:bottom w:val="single" w:sz="4" w:space="0" w:color="auto"/>
              <w:right w:val="single" w:sz="4" w:space="0" w:color="auto"/>
            </w:tcBorders>
            <w:shd w:val="clear" w:color="auto" w:fill="auto"/>
            <w:noWrap/>
            <w:vAlign w:val="center"/>
            <w:hideMark/>
          </w:tcPr>
          <w:p w:rsidR="009B2F9B" w:rsidRPr="001B265F" w:rsidRDefault="009B2F9B" w:rsidP="001B265F">
            <w:pPr>
              <w:spacing w:after="0" w:line="240" w:lineRule="auto"/>
              <w:rPr>
                <w:rFonts w:asciiTheme="minorHAnsi" w:eastAsia="Times New Roman" w:hAnsiTheme="minorHAnsi" w:cs="Arial"/>
              </w:rPr>
            </w:pPr>
            <w:r w:rsidRPr="001B265F">
              <w:rPr>
                <w:rFonts w:asciiTheme="minorHAnsi" w:eastAsia="Times New Roman" w:hAnsiTheme="minorHAnsi" w:cs="Arial"/>
              </w:rPr>
              <w:t>0.22</w:t>
            </w:r>
          </w:p>
        </w:tc>
      </w:tr>
      <w:tr w:rsidR="009B2F9B" w:rsidRPr="001B265F" w:rsidTr="001B265F">
        <w:trPr>
          <w:trHeight w:val="250"/>
        </w:trPr>
        <w:tc>
          <w:tcPr>
            <w:tcW w:w="1923" w:type="dxa"/>
            <w:tcBorders>
              <w:top w:val="nil"/>
              <w:left w:val="single" w:sz="4" w:space="0" w:color="auto"/>
              <w:bottom w:val="single" w:sz="4" w:space="0" w:color="auto"/>
              <w:right w:val="single" w:sz="4" w:space="0" w:color="auto"/>
            </w:tcBorders>
            <w:shd w:val="clear" w:color="auto" w:fill="auto"/>
            <w:noWrap/>
            <w:vAlign w:val="center"/>
            <w:hideMark/>
          </w:tcPr>
          <w:p w:rsidR="009B2F9B" w:rsidRPr="001B265F" w:rsidRDefault="009B2F9B" w:rsidP="001B265F">
            <w:pPr>
              <w:spacing w:after="0" w:line="240" w:lineRule="auto"/>
              <w:rPr>
                <w:rFonts w:asciiTheme="minorHAnsi" w:eastAsia="Times New Roman" w:hAnsiTheme="minorHAnsi" w:cs="Arial"/>
              </w:rPr>
            </w:pPr>
            <w:r w:rsidRPr="001B265F">
              <w:rPr>
                <w:rFonts w:asciiTheme="minorHAnsi" w:eastAsia="Times New Roman" w:hAnsiTheme="minorHAnsi" w:cs="Arial"/>
              </w:rPr>
              <w:t>New Jersey</w:t>
            </w:r>
          </w:p>
        </w:tc>
        <w:tc>
          <w:tcPr>
            <w:tcW w:w="2302" w:type="dxa"/>
            <w:tcBorders>
              <w:top w:val="nil"/>
              <w:left w:val="nil"/>
              <w:bottom w:val="single" w:sz="4" w:space="0" w:color="auto"/>
              <w:right w:val="single" w:sz="4" w:space="0" w:color="auto"/>
            </w:tcBorders>
            <w:shd w:val="clear" w:color="auto" w:fill="auto"/>
            <w:noWrap/>
            <w:vAlign w:val="center"/>
            <w:hideMark/>
          </w:tcPr>
          <w:p w:rsidR="009B2F9B" w:rsidRPr="001B265F" w:rsidRDefault="009B2F9B" w:rsidP="001B265F">
            <w:pPr>
              <w:spacing w:after="0" w:line="240" w:lineRule="auto"/>
              <w:rPr>
                <w:rFonts w:asciiTheme="minorHAnsi" w:eastAsia="Times New Roman" w:hAnsiTheme="minorHAnsi" w:cs="Arial"/>
              </w:rPr>
            </w:pPr>
            <w:r w:rsidRPr="001B265F">
              <w:rPr>
                <w:rFonts w:asciiTheme="minorHAnsi" w:eastAsia="Times New Roman" w:hAnsiTheme="minorHAnsi" w:cs="Arial"/>
              </w:rPr>
              <w:t>3,004</w:t>
            </w:r>
          </w:p>
        </w:tc>
        <w:tc>
          <w:tcPr>
            <w:tcW w:w="2340" w:type="dxa"/>
            <w:tcBorders>
              <w:top w:val="nil"/>
              <w:left w:val="nil"/>
              <w:bottom w:val="single" w:sz="4" w:space="0" w:color="auto"/>
              <w:right w:val="single" w:sz="4" w:space="0" w:color="auto"/>
            </w:tcBorders>
            <w:shd w:val="clear" w:color="auto" w:fill="auto"/>
            <w:noWrap/>
            <w:vAlign w:val="center"/>
            <w:hideMark/>
          </w:tcPr>
          <w:p w:rsidR="009B2F9B" w:rsidRPr="001B265F" w:rsidRDefault="009B2F9B" w:rsidP="001B265F">
            <w:pPr>
              <w:spacing w:after="0" w:line="240" w:lineRule="auto"/>
              <w:rPr>
                <w:rFonts w:asciiTheme="minorHAnsi" w:eastAsia="Times New Roman" w:hAnsiTheme="minorHAnsi" w:cs="Arial"/>
              </w:rPr>
            </w:pPr>
            <w:r w:rsidRPr="001B265F">
              <w:rPr>
                <w:rFonts w:asciiTheme="minorHAnsi" w:eastAsia="Times New Roman" w:hAnsiTheme="minorHAnsi" w:cs="Arial"/>
              </w:rPr>
              <w:t>4.79</w:t>
            </w:r>
          </w:p>
        </w:tc>
        <w:tc>
          <w:tcPr>
            <w:tcW w:w="2340" w:type="dxa"/>
            <w:tcBorders>
              <w:top w:val="nil"/>
              <w:left w:val="nil"/>
              <w:bottom w:val="single" w:sz="4" w:space="0" w:color="auto"/>
              <w:right w:val="single" w:sz="4" w:space="0" w:color="auto"/>
            </w:tcBorders>
            <w:shd w:val="clear" w:color="auto" w:fill="auto"/>
            <w:noWrap/>
            <w:vAlign w:val="center"/>
            <w:hideMark/>
          </w:tcPr>
          <w:p w:rsidR="009B2F9B" w:rsidRPr="001B265F" w:rsidRDefault="009B2F9B" w:rsidP="001B265F">
            <w:pPr>
              <w:spacing w:after="0" w:line="240" w:lineRule="auto"/>
              <w:rPr>
                <w:rFonts w:asciiTheme="minorHAnsi" w:eastAsia="Times New Roman" w:hAnsiTheme="minorHAnsi" w:cs="Arial"/>
              </w:rPr>
            </w:pPr>
            <w:r w:rsidRPr="001B265F">
              <w:rPr>
                <w:rFonts w:asciiTheme="minorHAnsi" w:eastAsia="Times New Roman" w:hAnsiTheme="minorHAnsi" w:cs="Arial"/>
              </w:rPr>
              <w:t>2.39</w:t>
            </w:r>
          </w:p>
        </w:tc>
      </w:tr>
      <w:tr w:rsidR="009B2F9B" w:rsidRPr="001B265F" w:rsidTr="001B265F">
        <w:trPr>
          <w:trHeight w:val="250"/>
        </w:trPr>
        <w:tc>
          <w:tcPr>
            <w:tcW w:w="1923" w:type="dxa"/>
            <w:tcBorders>
              <w:top w:val="nil"/>
              <w:left w:val="single" w:sz="4" w:space="0" w:color="auto"/>
              <w:bottom w:val="single" w:sz="4" w:space="0" w:color="auto"/>
              <w:right w:val="single" w:sz="4" w:space="0" w:color="auto"/>
            </w:tcBorders>
            <w:shd w:val="clear" w:color="auto" w:fill="auto"/>
            <w:noWrap/>
            <w:vAlign w:val="center"/>
            <w:hideMark/>
          </w:tcPr>
          <w:p w:rsidR="009B2F9B" w:rsidRPr="001B265F" w:rsidRDefault="009B2F9B" w:rsidP="001B265F">
            <w:pPr>
              <w:spacing w:after="0" w:line="240" w:lineRule="auto"/>
              <w:rPr>
                <w:rFonts w:asciiTheme="minorHAnsi" w:eastAsia="Times New Roman" w:hAnsiTheme="minorHAnsi" w:cs="Arial"/>
              </w:rPr>
            </w:pPr>
            <w:r w:rsidRPr="001B265F">
              <w:rPr>
                <w:rFonts w:asciiTheme="minorHAnsi" w:eastAsia="Times New Roman" w:hAnsiTheme="minorHAnsi" w:cs="Arial"/>
              </w:rPr>
              <w:t>New York</w:t>
            </w:r>
          </w:p>
        </w:tc>
        <w:tc>
          <w:tcPr>
            <w:tcW w:w="2302" w:type="dxa"/>
            <w:tcBorders>
              <w:top w:val="nil"/>
              <w:left w:val="nil"/>
              <w:bottom w:val="single" w:sz="4" w:space="0" w:color="auto"/>
              <w:right w:val="single" w:sz="4" w:space="0" w:color="auto"/>
            </w:tcBorders>
            <w:shd w:val="clear" w:color="auto" w:fill="auto"/>
            <w:noWrap/>
            <w:vAlign w:val="center"/>
            <w:hideMark/>
          </w:tcPr>
          <w:p w:rsidR="009B2F9B" w:rsidRPr="001B265F" w:rsidRDefault="009B2F9B" w:rsidP="001B265F">
            <w:pPr>
              <w:spacing w:after="0" w:line="240" w:lineRule="auto"/>
              <w:rPr>
                <w:rFonts w:asciiTheme="minorHAnsi" w:eastAsia="Times New Roman" w:hAnsiTheme="minorHAnsi" w:cs="Arial"/>
              </w:rPr>
            </w:pPr>
            <w:r w:rsidRPr="001B265F">
              <w:rPr>
                <w:rFonts w:asciiTheme="minorHAnsi" w:eastAsia="Times New Roman" w:hAnsiTheme="minorHAnsi" w:cs="Arial"/>
              </w:rPr>
              <w:t>5,507</w:t>
            </w:r>
          </w:p>
        </w:tc>
        <w:tc>
          <w:tcPr>
            <w:tcW w:w="2340" w:type="dxa"/>
            <w:tcBorders>
              <w:top w:val="nil"/>
              <w:left w:val="nil"/>
              <w:bottom w:val="single" w:sz="4" w:space="0" w:color="auto"/>
              <w:right w:val="single" w:sz="4" w:space="0" w:color="auto"/>
            </w:tcBorders>
            <w:shd w:val="clear" w:color="auto" w:fill="auto"/>
            <w:noWrap/>
            <w:vAlign w:val="center"/>
            <w:hideMark/>
          </w:tcPr>
          <w:p w:rsidR="009B2F9B" w:rsidRPr="001B265F" w:rsidRDefault="009B2F9B" w:rsidP="001B265F">
            <w:pPr>
              <w:spacing w:after="0" w:line="240" w:lineRule="auto"/>
              <w:rPr>
                <w:rFonts w:asciiTheme="minorHAnsi" w:eastAsia="Times New Roman" w:hAnsiTheme="minorHAnsi" w:cs="Arial"/>
              </w:rPr>
            </w:pPr>
            <w:r w:rsidRPr="001B265F">
              <w:rPr>
                <w:rFonts w:asciiTheme="minorHAnsi" w:eastAsia="Times New Roman" w:hAnsiTheme="minorHAnsi" w:cs="Arial"/>
              </w:rPr>
              <w:t>8.77</w:t>
            </w:r>
          </w:p>
        </w:tc>
        <w:tc>
          <w:tcPr>
            <w:tcW w:w="2340" w:type="dxa"/>
            <w:tcBorders>
              <w:top w:val="nil"/>
              <w:left w:val="nil"/>
              <w:bottom w:val="single" w:sz="4" w:space="0" w:color="auto"/>
              <w:right w:val="single" w:sz="4" w:space="0" w:color="auto"/>
            </w:tcBorders>
            <w:shd w:val="clear" w:color="auto" w:fill="auto"/>
            <w:noWrap/>
            <w:vAlign w:val="center"/>
            <w:hideMark/>
          </w:tcPr>
          <w:p w:rsidR="009B2F9B" w:rsidRPr="001B265F" w:rsidRDefault="009B2F9B" w:rsidP="001B265F">
            <w:pPr>
              <w:spacing w:after="0" w:line="240" w:lineRule="auto"/>
              <w:rPr>
                <w:rFonts w:asciiTheme="minorHAnsi" w:eastAsia="Times New Roman" w:hAnsiTheme="minorHAnsi" w:cs="Arial"/>
              </w:rPr>
            </w:pPr>
            <w:r w:rsidRPr="001B265F">
              <w:rPr>
                <w:rFonts w:asciiTheme="minorHAnsi" w:eastAsia="Times New Roman" w:hAnsiTheme="minorHAnsi" w:cs="Arial"/>
              </w:rPr>
              <w:t>4.39</w:t>
            </w:r>
          </w:p>
        </w:tc>
      </w:tr>
      <w:tr w:rsidR="009B2F9B" w:rsidRPr="001B265F" w:rsidTr="001B265F">
        <w:trPr>
          <w:trHeight w:val="250"/>
        </w:trPr>
        <w:tc>
          <w:tcPr>
            <w:tcW w:w="1923" w:type="dxa"/>
            <w:tcBorders>
              <w:top w:val="nil"/>
              <w:left w:val="single" w:sz="4" w:space="0" w:color="auto"/>
              <w:bottom w:val="single" w:sz="4" w:space="0" w:color="auto"/>
              <w:right w:val="single" w:sz="4" w:space="0" w:color="auto"/>
            </w:tcBorders>
            <w:shd w:val="clear" w:color="auto" w:fill="auto"/>
            <w:noWrap/>
            <w:vAlign w:val="center"/>
            <w:hideMark/>
          </w:tcPr>
          <w:p w:rsidR="009B2F9B" w:rsidRPr="001B265F" w:rsidRDefault="009B2F9B" w:rsidP="001B265F">
            <w:pPr>
              <w:spacing w:after="0" w:line="240" w:lineRule="auto"/>
              <w:rPr>
                <w:rFonts w:asciiTheme="minorHAnsi" w:eastAsia="Times New Roman" w:hAnsiTheme="minorHAnsi" w:cs="Arial"/>
              </w:rPr>
            </w:pPr>
            <w:r w:rsidRPr="001B265F">
              <w:rPr>
                <w:rFonts w:asciiTheme="minorHAnsi" w:eastAsia="Times New Roman" w:hAnsiTheme="minorHAnsi" w:cs="Arial"/>
              </w:rPr>
              <w:t>Pennsylvania</w:t>
            </w:r>
          </w:p>
        </w:tc>
        <w:tc>
          <w:tcPr>
            <w:tcW w:w="2302" w:type="dxa"/>
            <w:tcBorders>
              <w:top w:val="nil"/>
              <w:left w:val="nil"/>
              <w:bottom w:val="single" w:sz="4" w:space="0" w:color="auto"/>
              <w:right w:val="single" w:sz="4" w:space="0" w:color="auto"/>
            </w:tcBorders>
            <w:shd w:val="clear" w:color="auto" w:fill="auto"/>
            <w:noWrap/>
            <w:vAlign w:val="center"/>
            <w:hideMark/>
          </w:tcPr>
          <w:p w:rsidR="009B2F9B" w:rsidRPr="001B265F" w:rsidRDefault="009B2F9B" w:rsidP="001B265F">
            <w:pPr>
              <w:spacing w:after="0" w:line="240" w:lineRule="auto"/>
              <w:rPr>
                <w:rFonts w:asciiTheme="minorHAnsi" w:eastAsia="Times New Roman" w:hAnsiTheme="minorHAnsi" w:cs="Arial"/>
              </w:rPr>
            </w:pPr>
            <w:r w:rsidRPr="001B265F">
              <w:rPr>
                <w:rFonts w:asciiTheme="minorHAnsi" w:eastAsia="Times New Roman" w:hAnsiTheme="minorHAnsi" w:cs="Arial"/>
              </w:rPr>
              <w:t>3,953</w:t>
            </w:r>
          </w:p>
        </w:tc>
        <w:tc>
          <w:tcPr>
            <w:tcW w:w="2340" w:type="dxa"/>
            <w:tcBorders>
              <w:top w:val="nil"/>
              <w:left w:val="nil"/>
              <w:bottom w:val="single" w:sz="4" w:space="0" w:color="auto"/>
              <w:right w:val="single" w:sz="4" w:space="0" w:color="auto"/>
            </w:tcBorders>
            <w:shd w:val="clear" w:color="auto" w:fill="auto"/>
            <w:noWrap/>
            <w:vAlign w:val="center"/>
            <w:hideMark/>
          </w:tcPr>
          <w:p w:rsidR="009B2F9B" w:rsidRPr="001B265F" w:rsidRDefault="009B2F9B" w:rsidP="001B265F">
            <w:pPr>
              <w:spacing w:after="0" w:line="240" w:lineRule="auto"/>
              <w:rPr>
                <w:rFonts w:asciiTheme="minorHAnsi" w:eastAsia="Times New Roman" w:hAnsiTheme="minorHAnsi" w:cs="Arial"/>
              </w:rPr>
            </w:pPr>
            <w:r w:rsidRPr="001B265F">
              <w:rPr>
                <w:rFonts w:asciiTheme="minorHAnsi" w:eastAsia="Times New Roman" w:hAnsiTheme="minorHAnsi" w:cs="Arial"/>
              </w:rPr>
              <w:t>6.30</w:t>
            </w:r>
          </w:p>
        </w:tc>
        <w:tc>
          <w:tcPr>
            <w:tcW w:w="2340" w:type="dxa"/>
            <w:tcBorders>
              <w:top w:val="nil"/>
              <w:left w:val="nil"/>
              <w:bottom w:val="single" w:sz="4" w:space="0" w:color="auto"/>
              <w:right w:val="single" w:sz="4" w:space="0" w:color="auto"/>
            </w:tcBorders>
            <w:shd w:val="clear" w:color="auto" w:fill="auto"/>
            <w:noWrap/>
            <w:vAlign w:val="center"/>
            <w:hideMark/>
          </w:tcPr>
          <w:p w:rsidR="009B2F9B" w:rsidRPr="001B265F" w:rsidRDefault="009B2F9B" w:rsidP="001B265F">
            <w:pPr>
              <w:spacing w:after="0" w:line="240" w:lineRule="auto"/>
              <w:rPr>
                <w:rFonts w:asciiTheme="minorHAnsi" w:eastAsia="Times New Roman" w:hAnsiTheme="minorHAnsi" w:cs="Arial"/>
              </w:rPr>
            </w:pPr>
            <w:r w:rsidRPr="001B265F">
              <w:rPr>
                <w:rFonts w:asciiTheme="minorHAnsi" w:eastAsia="Times New Roman" w:hAnsiTheme="minorHAnsi" w:cs="Arial"/>
              </w:rPr>
              <w:t>3.15</w:t>
            </w:r>
          </w:p>
        </w:tc>
      </w:tr>
      <w:tr w:rsidR="009B2F9B" w:rsidRPr="001B265F" w:rsidTr="001B265F">
        <w:trPr>
          <w:trHeight w:val="250"/>
        </w:trPr>
        <w:tc>
          <w:tcPr>
            <w:tcW w:w="1923" w:type="dxa"/>
            <w:tcBorders>
              <w:top w:val="nil"/>
              <w:left w:val="single" w:sz="4" w:space="0" w:color="auto"/>
              <w:bottom w:val="single" w:sz="4" w:space="0" w:color="auto"/>
              <w:right w:val="single" w:sz="4" w:space="0" w:color="auto"/>
            </w:tcBorders>
            <w:shd w:val="clear" w:color="auto" w:fill="auto"/>
            <w:noWrap/>
            <w:vAlign w:val="center"/>
            <w:hideMark/>
          </w:tcPr>
          <w:p w:rsidR="009B2F9B" w:rsidRPr="001B265F" w:rsidRDefault="009B2F9B" w:rsidP="001B265F">
            <w:pPr>
              <w:spacing w:after="0" w:line="240" w:lineRule="auto"/>
              <w:rPr>
                <w:rFonts w:asciiTheme="minorHAnsi" w:eastAsia="Times New Roman" w:hAnsiTheme="minorHAnsi" w:cs="Arial"/>
              </w:rPr>
            </w:pPr>
            <w:r w:rsidRPr="001B265F">
              <w:rPr>
                <w:rFonts w:asciiTheme="minorHAnsi" w:eastAsia="Times New Roman" w:hAnsiTheme="minorHAnsi" w:cs="Arial"/>
              </w:rPr>
              <w:t>Rhode Island</w:t>
            </w:r>
          </w:p>
        </w:tc>
        <w:tc>
          <w:tcPr>
            <w:tcW w:w="2302" w:type="dxa"/>
            <w:tcBorders>
              <w:top w:val="nil"/>
              <w:left w:val="nil"/>
              <w:bottom w:val="single" w:sz="4" w:space="0" w:color="auto"/>
              <w:right w:val="single" w:sz="4" w:space="0" w:color="auto"/>
            </w:tcBorders>
            <w:shd w:val="clear" w:color="auto" w:fill="auto"/>
            <w:noWrap/>
            <w:vAlign w:val="center"/>
            <w:hideMark/>
          </w:tcPr>
          <w:p w:rsidR="009B2F9B" w:rsidRPr="001B265F" w:rsidRDefault="009B2F9B" w:rsidP="001B265F">
            <w:pPr>
              <w:spacing w:after="0" w:line="240" w:lineRule="auto"/>
              <w:rPr>
                <w:rFonts w:asciiTheme="minorHAnsi" w:eastAsia="Times New Roman" w:hAnsiTheme="minorHAnsi" w:cs="Arial"/>
              </w:rPr>
            </w:pPr>
            <w:r w:rsidRPr="001B265F">
              <w:rPr>
                <w:rFonts w:asciiTheme="minorHAnsi" w:eastAsia="Times New Roman" w:hAnsiTheme="minorHAnsi" w:cs="Arial"/>
              </w:rPr>
              <w:t>433</w:t>
            </w:r>
          </w:p>
        </w:tc>
        <w:tc>
          <w:tcPr>
            <w:tcW w:w="2340" w:type="dxa"/>
            <w:tcBorders>
              <w:top w:val="nil"/>
              <w:left w:val="nil"/>
              <w:bottom w:val="single" w:sz="4" w:space="0" w:color="auto"/>
              <w:right w:val="single" w:sz="4" w:space="0" w:color="auto"/>
            </w:tcBorders>
            <w:shd w:val="clear" w:color="auto" w:fill="auto"/>
            <w:noWrap/>
            <w:vAlign w:val="center"/>
            <w:hideMark/>
          </w:tcPr>
          <w:p w:rsidR="009B2F9B" w:rsidRPr="001B265F" w:rsidRDefault="009B2F9B" w:rsidP="001B265F">
            <w:pPr>
              <w:spacing w:after="0" w:line="240" w:lineRule="auto"/>
              <w:rPr>
                <w:rFonts w:asciiTheme="minorHAnsi" w:eastAsia="Times New Roman" w:hAnsiTheme="minorHAnsi" w:cs="Arial"/>
              </w:rPr>
            </w:pPr>
            <w:r w:rsidRPr="001B265F">
              <w:rPr>
                <w:rFonts w:asciiTheme="minorHAnsi" w:eastAsia="Times New Roman" w:hAnsiTheme="minorHAnsi" w:cs="Arial"/>
              </w:rPr>
              <w:t>0.69</w:t>
            </w:r>
          </w:p>
        </w:tc>
        <w:tc>
          <w:tcPr>
            <w:tcW w:w="2340" w:type="dxa"/>
            <w:tcBorders>
              <w:top w:val="nil"/>
              <w:left w:val="nil"/>
              <w:bottom w:val="single" w:sz="4" w:space="0" w:color="auto"/>
              <w:right w:val="single" w:sz="4" w:space="0" w:color="auto"/>
            </w:tcBorders>
            <w:shd w:val="clear" w:color="auto" w:fill="auto"/>
            <w:noWrap/>
            <w:vAlign w:val="center"/>
            <w:hideMark/>
          </w:tcPr>
          <w:p w:rsidR="009B2F9B" w:rsidRPr="001B265F" w:rsidRDefault="009B2F9B" w:rsidP="001B265F">
            <w:pPr>
              <w:spacing w:after="0" w:line="240" w:lineRule="auto"/>
              <w:rPr>
                <w:rFonts w:asciiTheme="minorHAnsi" w:eastAsia="Times New Roman" w:hAnsiTheme="minorHAnsi" w:cs="Arial"/>
              </w:rPr>
            </w:pPr>
            <w:r w:rsidRPr="001B265F">
              <w:rPr>
                <w:rFonts w:asciiTheme="minorHAnsi" w:eastAsia="Times New Roman" w:hAnsiTheme="minorHAnsi" w:cs="Arial"/>
              </w:rPr>
              <w:t>0.34</w:t>
            </w:r>
          </w:p>
        </w:tc>
      </w:tr>
      <w:tr w:rsidR="009B2F9B" w:rsidRPr="001B265F" w:rsidTr="001B265F">
        <w:trPr>
          <w:trHeight w:val="250"/>
        </w:trPr>
        <w:tc>
          <w:tcPr>
            <w:tcW w:w="1923" w:type="dxa"/>
            <w:tcBorders>
              <w:top w:val="nil"/>
              <w:left w:val="single" w:sz="4" w:space="0" w:color="auto"/>
              <w:bottom w:val="single" w:sz="4" w:space="0" w:color="auto"/>
              <w:right w:val="single" w:sz="4" w:space="0" w:color="auto"/>
            </w:tcBorders>
            <w:shd w:val="clear" w:color="auto" w:fill="auto"/>
            <w:noWrap/>
            <w:vAlign w:val="center"/>
            <w:hideMark/>
          </w:tcPr>
          <w:p w:rsidR="009B2F9B" w:rsidRPr="001B265F" w:rsidRDefault="009B2F9B" w:rsidP="001B265F">
            <w:pPr>
              <w:spacing w:after="0" w:line="240" w:lineRule="auto"/>
              <w:rPr>
                <w:rFonts w:asciiTheme="minorHAnsi" w:eastAsia="Times New Roman" w:hAnsiTheme="minorHAnsi" w:cs="Arial"/>
              </w:rPr>
            </w:pPr>
            <w:r w:rsidRPr="001B265F">
              <w:rPr>
                <w:rFonts w:asciiTheme="minorHAnsi" w:eastAsia="Times New Roman" w:hAnsiTheme="minorHAnsi" w:cs="Arial"/>
              </w:rPr>
              <w:t>Vermont</w:t>
            </w:r>
          </w:p>
        </w:tc>
        <w:tc>
          <w:tcPr>
            <w:tcW w:w="2302" w:type="dxa"/>
            <w:tcBorders>
              <w:top w:val="nil"/>
              <w:left w:val="nil"/>
              <w:bottom w:val="single" w:sz="4" w:space="0" w:color="auto"/>
              <w:right w:val="single" w:sz="4" w:space="0" w:color="auto"/>
            </w:tcBorders>
            <w:shd w:val="clear" w:color="auto" w:fill="auto"/>
            <w:noWrap/>
            <w:vAlign w:val="center"/>
            <w:hideMark/>
          </w:tcPr>
          <w:p w:rsidR="009B2F9B" w:rsidRPr="001B265F" w:rsidRDefault="009B2F9B" w:rsidP="001B265F">
            <w:pPr>
              <w:spacing w:after="0" w:line="240" w:lineRule="auto"/>
              <w:rPr>
                <w:rFonts w:asciiTheme="minorHAnsi" w:eastAsia="Times New Roman" w:hAnsiTheme="minorHAnsi" w:cs="Arial"/>
              </w:rPr>
            </w:pPr>
            <w:r w:rsidRPr="001B265F">
              <w:rPr>
                <w:rFonts w:asciiTheme="minorHAnsi" w:eastAsia="Times New Roman" w:hAnsiTheme="minorHAnsi" w:cs="Arial"/>
              </w:rPr>
              <w:t>39</w:t>
            </w:r>
          </w:p>
        </w:tc>
        <w:tc>
          <w:tcPr>
            <w:tcW w:w="2340" w:type="dxa"/>
            <w:tcBorders>
              <w:top w:val="nil"/>
              <w:left w:val="nil"/>
              <w:bottom w:val="single" w:sz="4" w:space="0" w:color="auto"/>
              <w:right w:val="single" w:sz="4" w:space="0" w:color="auto"/>
            </w:tcBorders>
            <w:shd w:val="clear" w:color="auto" w:fill="auto"/>
            <w:noWrap/>
            <w:vAlign w:val="center"/>
            <w:hideMark/>
          </w:tcPr>
          <w:p w:rsidR="009B2F9B" w:rsidRPr="001B265F" w:rsidRDefault="009B2F9B" w:rsidP="001B265F">
            <w:pPr>
              <w:spacing w:after="0" w:line="240" w:lineRule="auto"/>
              <w:rPr>
                <w:rFonts w:asciiTheme="minorHAnsi" w:eastAsia="Times New Roman" w:hAnsiTheme="minorHAnsi" w:cs="Arial"/>
              </w:rPr>
            </w:pPr>
            <w:r w:rsidRPr="001B265F">
              <w:rPr>
                <w:rFonts w:asciiTheme="minorHAnsi" w:eastAsia="Times New Roman" w:hAnsiTheme="minorHAnsi" w:cs="Arial"/>
              </w:rPr>
              <w:t>0.06</w:t>
            </w:r>
          </w:p>
        </w:tc>
        <w:tc>
          <w:tcPr>
            <w:tcW w:w="2340" w:type="dxa"/>
            <w:tcBorders>
              <w:top w:val="nil"/>
              <w:left w:val="nil"/>
              <w:bottom w:val="single" w:sz="4" w:space="0" w:color="auto"/>
              <w:right w:val="single" w:sz="4" w:space="0" w:color="auto"/>
            </w:tcBorders>
            <w:shd w:val="clear" w:color="auto" w:fill="auto"/>
            <w:noWrap/>
            <w:vAlign w:val="center"/>
            <w:hideMark/>
          </w:tcPr>
          <w:p w:rsidR="009B2F9B" w:rsidRPr="001B265F" w:rsidRDefault="009B2F9B" w:rsidP="001B265F">
            <w:pPr>
              <w:spacing w:after="0" w:line="240" w:lineRule="auto"/>
              <w:rPr>
                <w:rFonts w:asciiTheme="minorHAnsi" w:eastAsia="Times New Roman" w:hAnsiTheme="minorHAnsi" w:cs="Arial"/>
              </w:rPr>
            </w:pPr>
            <w:r w:rsidRPr="001B265F">
              <w:rPr>
                <w:rFonts w:asciiTheme="minorHAnsi" w:eastAsia="Times New Roman" w:hAnsiTheme="minorHAnsi" w:cs="Arial"/>
              </w:rPr>
              <w:t>0.03</w:t>
            </w:r>
          </w:p>
        </w:tc>
      </w:tr>
      <w:tr w:rsidR="009B2F9B" w:rsidRPr="001B265F" w:rsidTr="001B265F">
        <w:trPr>
          <w:trHeight w:val="250"/>
        </w:trPr>
        <w:tc>
          <w:tcPr>
            <w:tcW w:w="1923" w:type="dxa"/>
            <w:tcBorders>
              <w:top w:val="nil"/>
              <w:left w:val="single" w:sz="4" w:space="0" w:color="auto"/>
              <w:bottom w:val="single" w:sz="4" w:space="0" w:color="auto"/>
              <w:right w:val="single" w:sz="4" w:space="0" w:color="auto"/>
            </w:tcBorders>
            <w:shd w:val="clear" w:color="auto" w:fill="auto"/>
            <w:noWrap/>
            <w:vAlign w:val="center"/>
            <w:hideMark/>
          </w:tcPr>
          <w:p w:rsidR="009B2F9B" w:rsidRPr="001B265F" w:rsidRDefault="009B2F9B" w:rsidP="001B265F">
            <w:pPr>
              <w:spacing w:after="0" w:line="240" w:lineRule="auto"/>
              <w:rPr>
                <w:rFonts w:asciiTheme="minorHAnsi" w:eastAsia="Times New Roman" w:hAnsiTheme="minorHAnsi" w:cs="Arial"/>
              </w:rPr>
            </w:pPr>
            <w:r w:rsidRPr="001B265F">
              <w:rPr>
                <w:rFonts w:asciiTheme="minorHAnsi" w:eastAsia="Times New Roman" w:hAnsiTheme="minorHAnsi" w:cs="Arial"/>
              </w:rPr>
              <w:t>Virginia (partial)</w:t>
            </w:r>
          </w:p>
        </w:tc>
        <w:tc>
          <w:tcPr>
            <w:tcW w:w="2302" w:type="dxa"/>
            <w:tcBorders>
              <w:top w:val="nil"/>
              <w:left w:val="nil"/>
              <w:bottom w:val="single" w:sz="4" w:space="0" w:color="auto"/>
              <w:right w:val="single" w:sz="4" w:space="0" w:color="auto"/>
            </w:tcBorders>
            <w:shd w:val="clear" w:color="auto" w:fill="auto"/>
            <w:noWrap/>
            <w:vAlign w:val="center"/>
            <w:hideMark/>
          </w:tcPr>
          <w:p w:rsidR="009B2F9B" w:rsidRPr="001B265F" w:rsidRDefault="009B2F9B" w:rsidP="001B265F">
            <w:pPr>
              <w:spacing w:after="0" w:line="240" w:lineRule="auto"/>
              <w:rPr>
                <w:rFonts w:asciiTheme="minorHAnsi" w:eastAsia="Times New Roman" w:hAnsiTheme="minorHAnsi" w:cs="Arial"/>
              </w:rPr>
            </w:pPr>
            <w:r w:rsidRPr="001B265F">
              <w:rPr>
                <w:rFonts w:asciiTheme="minorHAnsi" w:eastAsia="Times New Roman" w:hAnsiTheme="minorHAnsi" w:cs="Arial"/>
              </w:rPr>
              <w:t>509</w:t>
            </w:r>
          </w:p>
        </w:tc>
        <w:tc>
          <w:tcPr>
            <w:tcW w:w="2340" w:type="dxa"/>
            <w:tcBorders>
              <w:top w:val="nil"/>
              <w:left w:val="nil"/>
              <w:bottom w:val="single" w:sz="4" w:space="0" w:color="auto"/>
              <w:right w:val="single" w:sz="4" w:space="0" w:color="auto"/>
            </w:tcBorders>
            <w:shd w:val="clear" w:color="auto" w:fill="auto"/>
            <w:noWrap/>
            <w:vAlign w:val="center"/>
            <w:hideMark/>
          </w:tcPr>
          <w:p w:rsidR="009B2F9B" w:rsidRPr="001B265F" w:rsidRDefault="009B2F9B" w:rsidP="001B265F">
            <w:pPr>
              <w:spacing w:after="0" w:line="240" w:lineRule="auto"/>
              <w:rPr>
                <w:rFonts w:asciiTheme="minorHAnsi" w:eastAsia="Times New Roman" w:hAnsiTheme="minorHAnsi" w:cs="Arial"/>
              </w:rPr>
            </w:pPr>
            <w:r w:rsidRPr="001B265F">
              <w:rPr>
                <w:rFonts w:asciiTheme="minorHAnsi" w:eastAsia="Times New Roman" w:hAnsiTheme="minorHAnsi" w:cs="Arial"/>
              </w:rPr>
              <w:t>0.81</w:t>
            </w:r>
          </w:p>
        </w:tc>
        <w:tc>
          <w:tcPr>
            <w:tcW w:w="2340" w:type="dxa"/>
            <w:tcBorders>
              <w:top w:val="nil"/>
              <w:left w:val="nil"/>
              <w:bottom w:val="single" w:sz="4" w:space="0" w:color="auto"/>
              <w:right w:val="single" w:sz="4" w:space="0" w:color="auto"/>
            </w:tcBorders>
            <w:shd w:val="clear" w:color="auto" w:fill="auto"/>
            <w:noWrap/>
            <w:vAlign w:val="center"/>
            <w:hideMark/>
          </w:tcPr>
          <w:p w:rsidR="009B2F9B" w:rsidRPr="001B265F" w:rsidRDefault="009B2F9B" w:rsidP="001B265F">
            <w:pPr>
              <w:spacing w:after="0" w:line="240" w:lineRule="auto"/>
              <w:rPr>
                <w:rFonts w:asciiTheme="minorHAnsi" w:eastAsia="Times New Roman" w:hAnsiTheme="minorHAnsi" w:cs="Arial"/>
              </w:rPr>
            </w:pPr>
            <w:r w:rsidRPr="001B265F">
              <w:rPr>
                <w:rFonts w:asciiTheme="minorHAnsi" w:eastAsia="Times New Roman" w:hAnsiTheme="minorHAnsi" w:cs="Arial"/>
              </w:rPr>
              <w:t>0.41</w:t>
            </w:r>
          </w:p>
        </w:tc>
      </w:tr>
      <w:tr w:rsidR="009B2F9B" w:rsidRPr="001B265F" w:rsidTr="001B265F">
        <w:trPr>
          <w:trHeight w:val="260"/>
        </w:trPr>
        <w:tc>
          <w:tcPr>
            <w:tcW w:w="1923" w:type="dxa"/>
            <w:tcBorders>
              <w:top w:val="nil"/>
              <w:left w:val="single" w:sz="4" w:space="0" w:color="auto"/>
              <w:bottom w:val="single" w:sz="4" w:space="0" w:color="auto"/>
              <w:right w:val="single" w:sz="4" w:space="0" w:color="auto"/>
            </w:tcBorders>
            <w:shd w:val="clear" w:color="auto" w:fill="auto"/>
            <w:noWrap/>
            <w:vAlign w:val="center"/>
            <w:hideMark/>
          </w:tcPr>
          <w:p w:rsidR="009B2F9B" w:rsidRPr="001B265F" w:rsidRDefault="009B2F9B" w:rsidP="001B265F">
            <w:pPr>
              <w:spacing w:after="0" w:line="240" w:lineRule="auto"/>
              <w:rPr>
                <w:rFonts w:asciiTheme="minorHAnsi" w:eastAsia="Times New Roman" w:hAnsiTheme="minorHAnsi" w:cs="Arial"/>
                <w:b/>
                <w:bCs/>
              </w:rPr>
            </w:pPr>
            <w:r w:rsidRPr="001B265F">
              <w:rPr>
                <w:rFonts w:asciiTheme="minorHAnsi" w:eastAsia="Times New Roman" w:hAnsiTheme="minorHAnsi" w:cs="Arial"/>
                <w:b/>
                <w:bCs/>
              </w:rPr>
              <w:t>OTR Total</w:t>
            </w:r>
          </w:p>
        </w:tc>
        <w:tc>
          <w:tcPr>
            <w:tcW w:w="2302" w:type="dxa"/>
            <w:tcBorders>
              <w:top w:val="nil"/>
              <w:left w:val="nil"/>
              <w:bottom w:val="single" w:sz="4" w:space="0" w:color="auto"/>
              <w:right w:val="single" w:sz="4" w:space="0" w:color="auto"/>
            </w:tcBorders>
            <w:shd w:val="clear" w:color="auto" w:fill="auto"/>
            <w:noWrap/>
            <w:vAlign w:val="center"/>
            <w:hideMark/>
          </w:tcPr>
          <w:p w:rsidR="009B2F9B" w:rsidRPr="001B265F" w:rsidRDefault="009B2F9B" w:rsidP="001B265F">
            <w:pPr>
              <w:spacing w:after="0" w:line="240" w:lineRule="auto"/>
              <w:rPr>
                <w:rFonts w:asciiTheme="minorHAnsi" w:eastAsia="Times New Roman" w:hAnsiTheme="minorHAnsi" w:cs="Arial"/>
                <w:b/>
                <w:bCs/>
              </w:rPr>
            </w:pPr>
            <w:r w:rsidRPr="001B265F">
              <w:rPr>
                <w:rFonts w:asciiTheme="minorHAnsi" w:eastAsia="Times New Roman" w:hAnsiTheme="minorHAnsi" w:cs="Arial"/>
                <w:b/>
                <w:bCs/>
              </w:rPr>
              <w:t>18,334</w:t>
            </w:r>
          </w:p>
        </w:tc>
        <w:tc>
          <w:tcPr>
            <w:tcW w:w="2340" w:type="dxa"/>
            <w:tcBorders>
              <w:top w:val="nil"/>
              <w:left w:val="nil"/>
              <w:bottom w:val="single" w:sz="4" w:space="0" w:color="auto"/>
              <w:right w:val="single" w:sz="4" w:space="0" w:color="auto"/>
            </w:tcBorders>
            <w:shd w:val="clear" w:color="auto" w:fill="auto"/>
            <w:noWrap/>
            <w:vAlign w:val="center"/>
            <w:hideMark/>
          </w:tcPr>
          <w:p w:rsidR="009B2F9B" w:rsidRPr="001B265F" w:rsidRDefault="009B2F9B" w:rsidP="001B265F">
            <w:pPr>
              <w:spacing w:after="0" w:line="240" w:lineRule="auto"/>
              <w:rPr>
                <w:rFonts w:asciiTheme="minorHAnsi" w:eastAsia="Times New Roman" w:hAnsiTheme="minorHAnsi" w:cs="Arial"/>
                <w:b/>
                <w:bCs/>
              </w:rPr>
            </w:pPr>
            <w:r w:rsidRPr="001B265F">
              <w:rPr>
                <w:rFonts w:asciiTheme="minorHAnsi" w:eastAsia="Times New Roman" w:hAnsiTheme="minorHAnsi" w:cs="Arial"/>
                <w:b/>
                <w:bCs/>
              </w:rPr>
              <w:t>29.21</w:t>
            </w:r>
          </w:p>
        </w:tc>
        <w:tc>
          <w:tcPr>
            <w:tcW w:w="2340" w:type="dxa"/>
            <w:tcBorders>
              <w:top w:val="nil"/>
              <w:left w:val="nil"/>
              <w:bottom w:val="single" w:sz="4" w:space="0" w:color="auto"/>
              <w:right w:val="single" w:sz="4" w:space="0" w:color="auto"/>
            </w:tcBorders>
            <w:shd w:val="clear" w:color="auto" w:fill="auto"/>
            <w:noWrap/>
            <w:vAlign w:val="center"/>
            <w:hideMark/>
          </w:tcPr>
          <w:p w:rsidR="009B2F9B" w:rsidRPr="001B265F" w:rsidRDefault="009B2F9B" w:rsidP="001B265F">
            <w:pPr>
              <w:spacing w:after="0" w:line="240" w:lineRule="auto"/>
              <w:rPr>
                <w:rFonts w:asciiTheme="minorHAnsi" w:eastAsia="Times New Roman" w:hAnsiTheme="minorHAnsi" w:cs="Arial"/>
                <w:b/>
                <w:bCs/>
              </w:rPr>
            </w:pPr>
            <w:r w:rsidRPr="001B265F">
              <w:rPr>
                <w:rFonts w:asciiTheme="minorHAnsi" w:eastAsia="Times New Roman" w:hAnsiTheme="minorHAnsi" w:cs="Arial"/>
                <w:b/>
                <w:bCs/>
              </w:rPr>
              <w:t>14.61</w:t>
            </w:r>
          </w:p>
        </w:tc>
      </w:tr>
      <w:tr w:rsidR="009B2F9B" w:rsidRPr="001B265F" w:rsidTr="001B265F">
        <w:trPr>
          <w:trHeight w:val="380"/>
        </w:trPr>
        <w:tc>
          <w:tcPr>
            <w:tcW w:w="1923" w:type="dxa"/>
            <w:tcBorders>
              <w:top w:val="nil"/>
              <w:left w:val="single" w:sz="4" w:space="0" w:color="auto"/>
              <w:bottom w:val="nil"/>
              <w:right w:val="nil"/>
            </w:tcBorders>
            <w:shd w:val="clear" w:color="auto" w:fill="auto"/>
            <w:noWrap/>
            <w:vAlign w:val="center"/>
            <w:hideMark/>
          </w:tcPr>
          <w:p w:rsidR="009B2F9B" w:rsidRPr="001B265F" w:rsidRDefault="009B2F9B" w:rsidP="001B265F">
            <w:pPr>
              <w:spacing w:after="0" w:line="240" w:lineRule="auto"/>
              <w:rPr>
                <w:rFonts w:asciiTheme="minorHAnsi" w:eastAsia="Times New Roman" w:hAnsiTheme="minorHAnsi" w:cs="Arial"/>
                <w:b/>
                <w:bCs/>
              </w:rPr>
            </w:pPr>
            <w:r w:rsidRPr="001B265F">
              <w:rPr>
                <w:rFonts w:asciiTheme="minorHAnsi" w:eastAsia="Times New Roman" w:hAnsiTheme="minorHAnsi" w:cs="Arial"/>
                <w:b/>
                <w:bCs/>
              </w:rPr>
              <w:t>Notes:</w:t>
            </w:r>
          </w:p>
        </w:tc>
        <w:tc>
          <w:tcPr>
            <w:tcW w:w="2302" w:type="dxa"/>
            <w:tcBorders>
              <w:top w:val="nil"/>
              <w:left w:val="nil"/>
              <w:bottom w:val="nil"/>
              <w:right w:val="nil"/>
            </w:tcBorders>
            <w:shd w:val="clear" w:color="auto" w:fill="auto"/>
            <w:noWrap/>
            <w:vAlign w:val="center"/>
            <w:hideMark/>
          </w:tcPr>
          <w:p w:rsidR="009B2F9B" w:rsidRPr="001B265F" w:rsidRDefault="009B2F9B" w:rsidP="001B265F">
            <w:pPr>
              <w:spacing w:after="0" w:line="240" w:lineRule="auto"/>
              <w:rPr>
                <w:rFonts w:asciiTheme="minorHAnsi" w:eastAsia="Times New Roman" w:hAnsiTheme="minorHAnsi" w:cs="Arial"/>
              </w:rPr>
            </w:pPr>
            <w:r w:rsidRPr="001B265F">
              <w:rPr>
                <w:rFonts w:asciiTheme="minorHAnsi" w:eastAsia="Times New Roman" w:hAnsiTheme="minorHAnsi" w:cs="Arial"/>
              </w:rPr>
              <w:t> </w:t>
            </w:r>
          </w:p>
        </w:tc>
        <w:tc>
          <w:tcPr>
            <w:tcW w:w="2340" w:type="dxa"/>
            <w:tcBorders>
              <w:top w:val="nil"/>
              <w:left w:val="nil"/>
              <w:bottom w:val="nil"/>
              <w:right w:val="nil"/>
            </w:tcBorders>
            <w:shd w:val="clear" w:color="auto" w:fill="auto"/>
            <w:noWrap/>
            <w:vAlign w:val="center"/>
            <w:hideMark/>
          </w:tcPr>
          <w:p w:rsidR="009B2F9B" w:rsidRPr="001B265F" w:rsidRDefault="009B2F9B" w:rsidP="001B265F">
            <w:pPr>
              <w:spacing w:after="0" w:line="240" w:lineRule="auto"/>
              <w:rPr>
                <w:rFonts w:asciiTheme="minorHAnsi" w:eastAsia="Times New Roman" w:hAnsiTheme="minorHAnsi" w:cs="Arial"/>
              </w:rPr>
            </w:pPr>
            <w:r w:rsidRPr="001B265F">
              <w:rPr>
                <w:rFonts w:asciiTheme="minorHAnsi" w:eastAsia="Times New Roman" w:hAnsiTheme="minorHAnsi" w:cs="Arial"/>
              </w:rPr>
              <w:t> </w:t>
            </w:r>
          </w:p>
        </w:tc>
        <w:tc>
          <w:tcPr>
            <w:tcW w:w="2340" w:type="dxa"/>
            <w:tcBorders>
              <w:top w:val="nil"/>
              <w:left w:val="nil"/>
              <w:bottom w:val="nil"/>
              <w:right w:val="single" w:sz="4" w:space="0" w:color="auto"/>
            </w:tcBorders>
            <w:shd w:val="clear" w:color="auto" w:fill="auto"/>
            <w:noWrap/>
            <w:vAlign w:val="center"/>
            <w:hideMark/>
          </w:tcPr>
          <w:p w:rsidR="009B2F9B" w:rsidRPr="001B265F" w:rsidRDefault="009B2F9B" w:rsidP="001B265F">
            <w:pPr>
              <w:spacing w:after="0" w:line="240" w:lineRule="auto"/>
              <w:rPr>
                <w:rFonts w:asciiTheme="minorHAnsi" w:eastAsia="Times New Roman" w:hAnsiTheme="minorHAnsi" w:cs="Arial"/>
              </w:rPr>
            </w:pPr>
            <w:r w:rsidRPr="001B265F">
              <w:rPr>
                <w:rFonts w:asciiTheme="minorHAnsi" w:eastAsia="Times New Roman" w:hAnsiTheme="minorHAnsi" w:cs="Arial"/>
              </w:rPr>
              <w:t> </w:t>
            </w:r>
          </w:p>
        </w:tc>
      </w:tr>
      <w:tr w:rsidR="009B2F9B" w:rsidRPr="001B265F" w:rsidTr="001B265F">
        <w:trPr>
          <w:trHeight w:val="540"/>
        </w:trPr>
        <w:tc>
          <w:tcPr>
            <w:tcW w:w="8905" w:type="dxa"/>
            <w:gridSpan w:val="4"/>
            <w:tcBorders>
              <w:top w:val="nil"/>
              <w:left w:val="single" w:sz="4" w:space="0" w:color="auto"/>
              <w:bottom w:val="single" w:sz="4" w:space="0" w:color="auto"/>
              <w:right w:val="single" w:sz="4" w:space="0" w:color="000000"/>
            </w:tcBorders>
            <w:shd w:val="clear" w:color="auto" w:fill="auto"/>
            <w:vAlign w:val="center"/>
            <w:hideMark/>
          </w:tcPr>
          <w:p w:rsidR="009B2F9B" w:rsidRPr="001B265F" w:rsidRDefault="009B2F9B" w:rsidP="001B265F">
            <w:pPr>
              <w:spacing w:after="0" w:line="240" w:lineRule="auto"/>
              <w:ind w:left="427"/>
              <w:rPr>
                <w:rFonts w:asciiTheme="minorHAnsi" w:eastAsia="Times New Roman" w:hAnsiTheme="minorHAnsi" w:cs="Arial"/>
              </w:rPr>
            </w:pPr>
            <w:r w:rsidRPr="001B265F">
              <w:rPr>
                <w:rFonts w:asciiTheme="minorHAnsi" w:eastAsia="Times New Roman" w:hAnsiTheme="minorHAnsi" w:cs="Arial"/>
              </w:rPr>
              <w:t>1.  Assumes a 2014 effective date of rule and</w:t>
            </w:r>
            <w:r w:rsidRPr="001B265F">
              <w:rPr>
                <w:rFonts w:asciiTheme="minorHAnsi" w:eastAsia="Times New Roman" w:hAnsiTheme="minorHAnsi" w:cs="Arial"/>
              </w:rPr>
              <w:br/>
              <w:t xml:space="preserve">    15 year implementation based on turnover of equipment</w:t>
            </w:r>
          </w:p>
        </w:tc>
      </w:tr>
    </w:tbl>
    <w:p w:rsidR="009B2F9B" w:rsidRDefault="009B2F9B" w:rsidP="001B265F">
      <w:pPr>
        <w:pStyle w:val="NoSpacing"/>
        <w:spacing w:before="200" w:after="200"/>
        <w:ind w:left="360"/>
        <w:jc w:val="both"/>
        <w:rPr>
          <w:rFonts w:asciiTheme="minorHAnsi" w:hAnsiTheme="minorHAnsi"/>
        </w:rPr>
      </w:pPr>
      <w:r>
        <w:rPr>
          <w:rFonts w:asciiTheme="minorHAnsi" w:hAnsiTheme="minorHAnsi"/>
        </w:rPr>
        <w:t xml:space="preserve">Additional calculations were performed proportioning emission reductions by population.  The results for the total OTR emissions were the same.  There were some variations by state, as certain states use more natural gas than others regardless of population.  Therefore, the </w:t>
      </w:r>
      <w:r w:rsidR="0060782B">
        <w:rPr>
          <w:noProof/>
        </w:rPr>
        <mc:AlternateContent>
          <mc:Choice Requires="wps">
            <w:drawing>
              <wp:anchor distT="0" distB="0" distL="114300" distR="114300" simplePos="0" relativeHeight="251743232" behindDoc="0" locked="1" layoutInCell="1" allowOverlap="0" wp14:anchorId="37F0C09B" wp14:editId="2A19CA42">
                <wp:simplePos x="0" y="0"/>
                <wp:positionH relativeFrom="margin">
                  <wp:posOffset>2838450</wp:posOffset>
                </wp:positionH>
                <wp:positionV relativeFrom="bottomMargin">
                  <wp:posOffset>176530</wp:posOffset>
                </wp:positionV>
                <wp:extent cx="914400" cy="237490"/>
                <wp:effectExtent l="0" t="0" r="0" b="0"/>
                <wp:wrapNone/>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237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782B" w:rsidRDefault="0060782B" w:rsidP="0060782B">
                            <w:pPr>
                              <w:ind w:right="60"/>
                              <w:rPr>
                                <w:rFonts w:asciiTheme="minorHAnsi" w:hAnsiTheme="minorHAnsi"/>
                                <w:sz w:val="20"/>
                                <w:szCs w:val="20"/>
                              </w:rPr>
                            </w:pPr>
                            <w:hyperlink w:anchor="TOC" w:history="1">
                              <w:r>
                                <w:rPr>
                                  <w:rStyle w:val="Hyperlink"/>
                                  <w:sz w:val="20"/>
                                  <w:szCs w:val="20"/>
                                </w:rPr>
                                <w:t>Back to TOC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0C09B" id="Text Box 209" o:spid="_x0000_s1058" type="#_x0000_t202" style="position:absolute;left:0;text-align:left;margin-left:223.5pt;margin-top:13.9pt;width:1in;height:18.7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PfkmQIAAK4FAAAOAAAAZHJzL2Uyb0RvYy54bWysVN9P2zAQfp+0/8Hy+0j6AxgRKepATJMq&#10;QIOJZ9exWwvH59luk+6v5+wkpTBemPaSnH3f3fnuvrvzi7bWZCucV2BKOjrKKRGGQ6XMqqS/Hq6/&#10;fKXEB2YqpsGIku6Epxezz5/OG1uIMaxBV8IRdGJ80diSrkOwRZZ5vhY180dghUGlBFezgEe3yirH&#10;GvRe62yc5ydZA66yDrjwHm+vOiWdJf9SCh5upfQiEF1SfFtIX5e+y/jNZuesWDlm14r3z2D/8Iqa&#10;KYNB966uWGBk49RfrmrFHXiQ4YhDnYGUiouUA2Yzyt9kc79mVqRcsDje7svk/59bfrO9c0RVJR3n&#10;Z5QYVmOTHkQbyDdoSbzDCjXWFwi8twgNLSqw0ylbbxfAnzxCsgNMZ+ARHSvSSlfHP+ZK0BCbsNsX&#10;PsbheHk2mk5z1HBUjSen07PUmOzF2DofvguoSRRK6rCv6QFsu/AhhmfFAImxPGhVXSut0yFySVxq&#10;R7YMWaDDKOaEFq9Q2pCmpCeT4zw5NhDNO5w20Y1IbOrDxWy7BJMUdlpEjDY/hcRqpjzfic04F2Yf&#10;P6EjSmKojxj2+JdXfcS4ywMtUmQwYW9cKwOu6+vrklVPQ8lkh+/77bu8YwlCu2wTjSYnA2OWUO2Q&#10;MA66ofOWXyvs3oL5cMccThk2HDdHuMWP1IDVh16iZA3uz3v3EY/kRy0lDU5tSf3vDXOCEv3D4Fgk&#10;IuGYp8P0+HSMMdyhZnmoMZv6EpASI9xRlicx4oMeROmgfsQFM49RUcUMx9glDYN4GbpdgguKi/k8&#10;gXCwLQsLc2/5MCeRmw/tI3O2J3BA5t/AMN+seMPjDhsbZGC+CSBVInksdFfVvgG4FBKT+wUWt87h&#10;OaFe1uzsGQAA//8DAFBLAwQUAAYACAAAACEAahsct98AAAAJAQAADwAAAGRycy9kb3ducmV2Lnht&#10;bEyPTU/DMAyG70j8h8hIXCaWttpnaTohxKTtsAOFy25ZY9qKxqmSbCv/HnNiR9uvXj9PsRltLy7o&#10;Q+dIQTpNQCDVznTUKPj82D6tQISoyejeESr4wQCb8v6u0LlxV3rHSxUbwSUUcq2gjXHIpQx1i1aH&#10;qRuQ+PblvNWRR99I4/WVy20vsyRZSKs74g+tHvC1xfq7OlsFh3DcTY5+t51Uwcg94uFtn0alHh/G&#10;l2cQEcf4H4Y/fEaHkplO7kwmiF7BbLZkl6ggW7ICB+brlBcnBYt5BrIs5K1B+QsAAP//AwBQSwEC&#10;LQAUAAYACAAAACEAtoM4kv4AAADhAQAAEwAAAAAAAAAAAAAAAAAAAAAAW0NvbnRlbnRfVHlwZXNd&#10;LnhtbFBLAQItABQABgAIAAAAIQA4/SH/1gAAAJQBAAALAAAAAAAAAAAAAAAAAC8BAABfcmVscy8u&#10;cmVsc1BLAQItABQABgAIAAAAIQAmJPfkmQIAAK4FAAAOAAAAAAAAAAAAAAAAAC4CAABkcnMvZTJv&#10;RG9jLnhtbFBLAQItABQABgAIAAAAIQBqGxy33wAAAAkBAAAPAAAAAAAAAAAAAAAAAPMEAABkcnMv&#10;ZG93bnJldi54bWxQSwUGAAAAAAQABADzAAAA/wUAAAAA&#10;" o:allowoverlap="f" fillcolor="white [3201]" stroked="f" strokeweight=".5pt">
                <v:path arrowok="t"/>
                <v:textbox>
                  <w:txbxContent>
                    <w:p w:rsidR="0060782B" w:rsidRDefault="0060782B" w:rsidP="0060782B">
                      <w:pPr>
                        <w:ind w:right="60"/>
                        <w:rPr>
                          <w:rFonts w:asciiTheme="minorHAnsi" w:hAnsiTheme="minorHAnsi"/>
                          <w:sz w:val="20"/>
                          <w:szCs w:val="20"/>
                        </w:rPr>
                      </w:pPr>
                      <w:hyperlink w:anchor="TOC" w:history="1">
                        <w:r>
                          <w:rPr>
                            <w:rStyle w:val="Hyperlink"/>
                            <w:sz w:val="20"/>
                            <w:szCs w:val="20"/>
                          </w:rPr>
                          <w:t>Back to TOC</w:t>
                        </w:r>
                      </w:hyperlink>
                    </w:p>
                  </w:txbxContent>
                </v:textbox>
                <w10:wrap anchorx="margin" anchory="margin"/>
                <w10:anchorlock/>
              </v:shape>
            </w:pict>
          </mc:Fallback>
        </mc:AlternateContent>
      </w:r>
      <w:r>
        <w:rPr>
          <w:rFonts w:asciiTheme="minorHAnsi" w:hAnsiTheme="minorHAnsi"/>
        </w:rPr>
        <w:t>natural gas estimates are more representative for the model rule.</w:t>
      </w:r>
    </w:p>
    <w:p w:rsidR="009B2F9B" w:rsidRPr="00146313" w:rsidRDefault="009B2F9B" w:rsidP="0081054E">
      <w:pPr>
        <w:pStyle w:val="NoSpacing"/>
        <w:spacing w:after="120"/>
        <w:ind w:left="360"/>
        <w:jc w:val="both"/>
        <w:rPr>
          <w:rFonts w:asciiTheme="minorHAnsi" w:hAnsiTheme="minorHAnsi"/>
        </w:rPr>
      </w:pPr>
      <w:r>
        <w:rPr>
          <w:rFonts w:asciiTheme="minorHAnsi" w:hAnsiTheme="minorHAnsi"/>
        </w:rPr>
        <w:lastRenderedPageBreak/>
        <w:t xml:space="preserve">More detailed calculations can be found in Appendix </w:t>
      </w:r>
      <w:r w:rsidRPr="0020614D">
        <w:rPr>
          <w:rFonts w:asciiTheme="minorHAnsi" w:hAnsiTheme="minorHAnsi"/>
        </w:rPr>
        <w:t>B.</w:t>
      </w:r>
    </w:p>
    <w:p w:rsidR="009B2F9B" w:rsidRPr="00A2277A" w:rsidRDefault="0025362E" w:rsidP="0025362E">
      <w:pPr>
        <w:pStyle w:val="Heading3"/>
      </w:pPr>
      <w:bookmarkStart w:id="273" w:name="_Toc461020985"/>
      <w:bookmarkStart w:id="274" w:name="_Toc461025650"/>
      <w:bookmarkStart w:id="275" w:name="_Toc461025859"/>
      <w:bookmarkStart w:id="276" w:name="_Toc461027129"/>
      <w:r>
        <w:t>3</w:t>
      </w:r>
      <w:r w:rsidR="009B2F9B">
        <w:t>.2.4</w:t>
      </w:r>
      <w:r>
        <w:tab/>
      </w:r>
      <w:r w:rsidR="009B2F9B">
        <w:tab/>
      </w:r>
      <w:r w:rsidR="009B2F9B" w:rsidRPr="00A2277A">
        <w:t>Control Cost Estimates</w:t>
      </w:r>
      <w:bookmarkEnd w:id="273"/>
      <w:bookmarkEnd w:id="274"/>
      <w:bookmarkEnd w:id="275"/>
      <w:bookmarkEnd w:id="276"/>
    </w:p>
    <w:p w:rsidR="009B2F9B" w:rsidRPr="00A2277A" w:rsidRDefault="009B2F9B" w:rsidP="0081054E">
      <w:pPr>
        <w:pStyle w:val="NoSpacing"/>
        <w:spacing w:after="120"/>
        <w:ind w:left="360"/>
        <w:jc w:val="both"/>
        <w:rPr>
          <w:rFonts w:asciiTheme="minorHAnsi" w:hAnsiTheme="minorHAnsi"/>
        </w:rPr>
      </w:pPr>
      <w:r>
        <w:rPr>
          <w:rFonts w:asciiTheme="minorHAnsi" w:hAnsiTheme="minorHAnsi"/>
        </w:rPr>
        <w:t>T</w:t>
      </w:r>
      <w:r w:rsidRPr="00A2277A">
        <w:rPr>
          <w:rFonts w:asciiTheme="minorHAnsi" w:hAnsiTheme="minorHAnsi"/>
        </w:rPr>
        <w:t>he SJVAPCD performed a cost effectiveness analysis for Rule 4308</w:t>
      </w:r>
      <w:r>
        <w:rPr>
          <w:rFonts w:asciiTheme="minorHAnsi" w:hAnsiTheme="minorHAnsi"/>
        </w:rPr>
        <w:t xml:space="preserve"> (</w:t>
      </w:r>
      <w:r w:rsidRPr="00BF2757">
        <w:rPr>
          <w:rFonts w:asciiTheme="minorHAnsi" w:hAnsiTheme="minorHAnsi"/>
        </w:rPr>
        <w:t>75,000 Btu/hr</w:t>
      </w:r>
      <w:r>
        <w:rPr>
          <w:rFonts w:asciiTheme="minorHAnsi" w:hAnsiTheme="minorHAnsi"/>
        </w:rPr>
        <w:t xml:space="preserve"> to</w:t>
      </w:r>
      <w:r w:rsidRPr="00BF2757">
        <w:rPr>
          <w:rFonts w:asciiTheme="minorHAnsi" w:hAnsiTheme="minorHAnsi"/>
        </w:rPr>
        <w:t xml:space="preserve"> 2.0 million Btu/hr</w:t>
      </w:r>
      <w:r>
        <w:rPr>
          <w:rFonts w:asciiTheme="minorHAnsi" w:hAnsiTheme="minorHAnsi"/>
        </w:rPr>
        <w:t xml:space="preserve">, </w:t>
      </w:r>
      <w:r w:rsidRPr="00BF2757">
        <w:rPr>
          <w:rFonts w:asciiTheme="minorHAnsi" w:hAnsiTheme="minorHAnsi"/>
        </w:rPr>
        <w:t>Type 1 and Type 2 units</w:t>
      </w:r>
      <w:r>
        <w:rPr>
          <w:rFonts w:asciiTheme="minorHAnsi" w:hAnsiTheme="minorHAnsi"/>
        </w:rPr>
        <w:t xml:space="preserve"> in this model rule</w:t>
      </w:r>
      <w:r w:rsidRPr="00BF2757">
        <w:rPr>
          <w:rFonts w:asciiTheme="minorHAnsi" w:hAnsiTheme="minorHAnsi"/>
        </w:rPr>
        <w:t>)</w:t>
      </w:r>
      <w:r w:rsidRPr="00A2277A">
        <w:rPr>
          <w:rFonts w:asciiTheme="minorHAnsi" w:hAnsiTheme="minorHAnsi"/>
        </w:rPr>
        <w:t>, which can be found in Appendix C of the Final Draft Staff report for the SJVAPCD rule</w:t>
      </w:r>
      <w:r>
        <w:rPr>
          <w:rFonts w:asciiTheme="minorHAnsi" w:hAnsiTheme="minorHAnsi"/>
        </w:rPr>
        <w:t xml:space="preserve"> dated October 20, 2005</w:t>
      </w:r>
      <w:r w:rsidRPr="00A2277A">
        <w:rPr>
          <w:rFonts w:asciiTheme="minorHAnsi" w:hAnsiTheme="minorHAnsi"/>
        </w:rPr>
        <w:t xml:space="preserve">.  District staff found that the technology to reduce </w:t>
      </w:r>
      <w:r w:rsidRPr="00A2277A">
        <w:rPr>
          <w:rFonts w:asciiTheme="minorHAnsi" w:hAnsiTheme="minorHAnsi"/>
          <w:snapToGrid w:val="0"/>
        </w:rPr>
        <w:t>NO</w:t>
      </w:r>
      <w:r w:rsidRPr="00A2277A">
        <w:rPr>
          <w:rFonts w:asciiTheme="minorHAnsi" w:hAnsiTheme="minorHAnsi"/>
          <w:snapToGrid w:val="0"/>
          <w:vertAlign w:val="subscript"/>
        </w:rPr>
        <w:t>x</w:t>
      </w:r>
      <w:r w:rsidRPr="00A2277A">
        <w:rPr>
          <w:rFonts w:asciiTheme="minorHAnsi" w:hAnsiTheme="minorHAnsi"/>
        </w:rPr>
        <w:t xml:space="preserve"> emissions from this category of boilers, steam generators, and process heaters was currently available and that most small boiler manufacturers offer at least one model that meets the limits in Rule 4308.  The estimated cost effectiveness ranged from a savings of $1,108 to $2,775 per ton </w:t>
      </w:r>
      <w:r w:rsidRPr="00A2277A">
        <w:rPr>
          <w:rFonts w:asciiTheme="minorHAnsi" w:hAnsiTheme="minorHAnsi"/>
          <w:snapToGrid w:val="0"/>
        </w:rPr>
        <w:t>NO</w:t>
      </w:r>
      <w:r w:rsidRPr="00A2277A">
        <w:rPr>
          <w:rFonts w:asciiTheme="minorHAnsi" w:hAnsiTheme="minorHAnsi"/>
          <w:snapToGrid w:val="0"/>
          <w:vertAlign w:val="subscript"/>
        </w:rPr>
        <w:t>x</w:t>
      </w:r>
      <w:r w:rsidRPr="00A2277A">
        <w:rPr>
          <w:rFonts w:asciiTheme="minorHAnsi" w:hAnsiTheme="minorHAnsi"/>
        </w:rPr>
        <w:t xml:space="preserve"> reduced for larger units and the cost effectiveness for smaller units ranged from $187 to $5,385 per ton of </w:t>
      </w:r>
      <w:r w:rsidRPr="00A2277A">
        <w:rPr>
          <w:rFonts w:asciiTheme="minorHAnsi" w:hAnsiTheme="minorHAnsi"/>
          <w:snapToGrid w:val="0"/>
        </w:rPr>
        <w:t>NO</w:t>
      </w:r>
      <w:r w:rsidRPr="00A2277A">
        <w:rPr>
          <w:rFonts w:asciiTheme="minorHAnsi" w:hAnsiTheme="minorHAnsi"/>
          <w:snapToGrid w:val="0"/>
          <w:vertAlign w:val="subscript"/>
        </w:rPr>
        <w:t>x</w:t>
      </w:r>
      <w:r w:rsidRPr="00A2277A">
        <w:rPr>
          <w:rFonts w:asciiTheme="minorHAnsi" w:hAnsiTheme="minorHAnsi"/>
        </w:rPr>
        <w:t xml:space="preserve"> reduced.</w:t>
      </w:r>
    </w:p>
    <w:p w:rsidR="009B2F9B" w:rsidRPr="001A3525" w:rsidRDefault="009B2F9B" w:rsidP="0081054E">
      <w:pPr>
        <w:pStyle w:val="NoSpacing"/>
        <w:spacing w:after="120"/>
        <w:ind w:left="360"/>
        <w:jc w:val="both"/>
        <w:rPr>
          <w:rFonts w:asciiTheme="minorHAnsi" w:hAnsiTheme="minorHAnsi"/>
        </w:rPr>
      </w:pPr>
      <w:r w:rsidRPr="001A3525">
        <w:rPr>
          <w:rFonts w:asciiTheme="minorHAnsi" w:hAnsiTheme="minorHAnsi"/>
        </w:rPr>
        <w:t xml:space="preserve">The SJVAPCD performed a cost effectiveness analysis for Rule 4307 (2.0 million Btu/hr to 5.0 million Btu/hr, Type 3 units in this model rule), which can be found in Appendix C of the Proposed Rule Amendments dated October 16, 2008.  In that analysis, District staff found that the average cost effectiveness for low </w:t>
      </w:r>
      <w:r w:rsidRPr="001A3525">
        <w:rPr>
          <w:rFonts w:asciiTheme="minorHAnsi" w:hAnsiTheme="minorHAnsi"/>
          <w:snapToGrid w:val="0"/>
        </w:rPr>
        <w:t>NO</w:t>
      </w:r>
      <w:r w:rsidRPr="001A3525">
        <w:rPr>
          <w:rFonts w:asciiTheme="minorHAnsi" w:hAnsiTheme="minorHAnsi"/>
          <w:snapToGrid w:val="0"/>
          <w:vertAlign w:val="subscript"/>
        </w:rPr>
        <w:t>x</w:t>
      </w:r>
      <w:r w:rsidRPr="001A3525">
        <w:rPr>
          <w:rFonts w:asciiTheme="minorHAnsi" w:hAnsiTheme="minorHAnsi"/>
        </w:rPr>
        <w:t xml:space="preserve"> burners</w:t>
      </w:r>
      <w:r w:rsidRPr="003F3964">
        <w:rPr>
          <w:rFonts w:asciiTheme="minorHAnsi" w:hAnsiTheme="minorHAnsi"/>
        </w:rPr>
        <w:t xml:space="preserve"> (30 ppmv to 9 ppmv)</w:t>
      </w:r>
      <w:r w:rsidRPr="001A3525">
        <w:rPr>
          <w:rFonts w:asciiTheme="minorHAnsi" w:hAnsiTheme="minorHAnsi"/>
        </w:rPr>
        <w:t xml:space="preserve"> was from $12,000/ton to $18,000/ton and the absolute cost effective range was $10,000/ton to $23,000/ton.</w:t>
      </w:r>
    </w:p>
    <w:p w:rsidR="009B2F9B" w:rsidRPr="00A2277A" w:rsidRDefault="009B2F9B" w:rsidP="0081054E">
      <w:pPr>
        <w:pStyle w:val="NoSpacing"/>
        <w:spacing w:after="120"/>
        <w:ind w:left="360"/>
        <w:jc w:val="both"/>
        <w:rPr>
          <w:rFonts w:asciiTheme="minorHAnsi" w:hAnsiTheme="minorHAnsi"/>
        </w:rPr>
      </w:pPr>
      <w:r w:rsidRPr="001A3525">
        <w:rPr>
          <w:rFonts w:asciiTheme="minorHAnsi" w:hAnsiTheme="minorHAnsi"/>
        </w:rPr>
        <w:t xml:space="preserve">District staff also found that the average cost effectiveness for a new ultra low </w:t>
      </w:r>
      <w:r w:rsidRPr="001A3525">
        <w:rPr>
          <w:rFonts w:asciiTheme="minorHAnsi" w:hAnsiTheme="minorHAnsi"/>
          <w:snapToGrid w:val="0"/>
        </w:rPr>
        <w:t>NO</w:t>
      </w:r>
      <w:r w:rsidRPr="001A3525">
        <w:rPr>
          <w:rFonts w:asciiTheme="minorHAnsi" w:hAnsiTheme="minorHAnsi"/>
          <w:snapToGrid w:val="0"/>
          <w:vertAlign w:val="subscript"/>
        </w:rPr>
        <w:t>x</w:t>
      </w:r>
      <w:r w:rsidRPr="001A3525">
        <w:rPr>
          <w:rFonts w:asciiTheme="minorHAnsi" w:hAnsiTheme="minorHAnsi"/>
        </w:rPr>
        <w:t xml:space="preserve"> burner (30 ppmv to 9 ppmv) was $100,000/ton and the absolute cost effectiveness range was $58,000/ton to $130,000/ton.  For a retrofit ultra low </w:t>
      </w:r>
      <w:r w:rsidRPr="001A3525">
        <w:rPr>
          <w:rFonts w:asciiTheme="minorHAnsi" w:hAnsiTheme="minorHAnsi"/>
          <w:snapToGrid w:val="0"/>
        </w:rPr>
        <w:t>NO</w:t>
      </w:r>
      <w:r w:rsidRPr="001A3525">
        <w:rPr>
          <w:rFonts w:asciiTheme="minorHAnsi" w:hAnsiTheme="minorHAnsi"/>
          <w:snapToGrid w:val="0"/>
          <w:vertAlign w:val="subscript"/>
        </w:rPr>
        <w:t>x</w:t>
      </w:r>
      <w:r w:rsidRPr="001A3525">
        <w:rPr>
          <w:rFonts w:asciiTheme="minorHAnsi" w:hAnsiTheme="minorHAnsi"/>
        </w:rPr>
        <w:t xml:space="preserve"> burner (30 ppmv to 9 ppmv) District staff found that the average cost effectiveness was $7,700/ton and that the absolute cost effectiveness range was $3,300/ton to $16,000/ton.  The term “average value” is the average for the range of units with the spread indicating the different fuel usages that were analyzed.  The “absolute value” is the lowest and the highest</w:t>
      </w:r>
      <w:r w:rsidRPr="00A2277A">
        <w:rPr>
          <w:rFonts w:asciiTheme="minorHAnsi" w:hAnsiTheme="minorHAnsi"/>
        </w:rPr>
        <w:t xml:space="preserve"> values calculated for a given compliance scenario and typically represents the cost for larger, high use units and smaller low use units.</w:t>
      </w:r>
    </w:p>
    <w:p w:rsidR="009B2F9B" w:rsidRPr="00A2277A" w:rsidRDefault="0025362E" w:rsidP="0025362E">
      <w:pPr>
        <w:pStyle w:val="Heading3"/>
      </w:pPr>
      <w:bookmarkStart w:id="277" w:name="_Toc461020986"/>
      <w:bookmarkStart w:id="278" w:name="_Toc461025651"/>
      <w:bookmarkStart w:id="279" w:name="_Toc461025860"/>
      <w:bookmarkStart w:id="280" w:name="_Toc461027130"/>
      <w:r>
        <w:t>3</w:t>
      </w:r>
      <w:r w:rsidR="009B2F9B">
        <w:t>.2.5</w:t>
      </w:r>
      <w:r>
        <w:tab/>
      </w:r>
      <w:r w:rsidR="009B2F9B">
        <w:tab/>
      </w:r>
      <w:r w:rsidR="009B2F9B" w:rsidRPr="00A2277A">
        <w:t>Emissions Reduction Benefits for Other Pollutants</w:t>
      </w:r>
      <w:bookmarkEnd w:id="277"/>
      <w:bookmarkEnd w:id="278"/>
      <w:bookmarkEnd w:id="279"/>
      <w:bookmarkEnd w:id="280"/>
    </w:p>
    <w:p w:rsidR="009B2F9B" w:rsidRPr="00A2277A" w:rsidRDefault="009B2F9B" w:rsidP="0081054E">
      <w:pPr>
        <w:pStyle w:val="NoSpacing"/>
        <w:spacing w:after="120"/>
        <w:ind w:left="360"/>
        <w:jc w:val="both"/>
        <w:rPr>
          <w:rFonts w:asciiTheme="minorHAnsi" w:hAnsiTheme="minorHAnsi"/>
        </w:rPr>
      </w:pPr>
      <w:r>
        <w:rPr>
          <w:rFonts w:asciiTheme="minorHAnsi" w:hAnsiTheme="minorHAnsi"/>
        </w:rPr>
        <w:t>NOx is a precursor to p</w:t>
      </w:r>
      <w:r w:rsidRPr="00A2277A">
        <w:rPr>
          <w:rFonts w:asciiTheme="minorHAnsi" w:hAnsiTheme="minorHAnsi"/>
        </w:rPr>
        <w:t xml:space="preserve">articulate </w:t>
      </w:r>
      <w:r>
        <w:rPr>
          <w:rFonts w:asciiTheme="minorHAnsi" w:hAnsiTheme="minorHAnsi"/>
        </w:rPr>
        <w:t>m</w:t>
      </w:r>
      <w:r w:rsidRPr="00A2277A">
        <w:rPr>
          <w:rFonts w:asciiTheme="minorHAnsi" w:hAnsiTheme="minorHAnsi"/>
        </w:rPr>
        <w:t>atter</w:t>
      </w:r>
      <w:r>
        <w:rPr>
          <w:rFonts w:asciiTheme="minorHAnsi" w:hAnsiTheme="minorHAnsi"/>
        </w:rPr>
        <w:t xml:space="preserve">, therefore, reduction of NOx also reductions particulate matter.  </w:t>
      </w:r>
      <w:r w:rsidRPr="00A2277A">
        <w:rPr>
          <w:rFonts w:asciiTheme="minorHAnsi" w:hAnsiTheme="minorHAnsi"/>
        </w:rPr>
        <w:t>Greenhouse Gas emissions might</w:t>
      </w:r>
      <w:r>
        <w:rPr>
          <w:rFonts w:asciiTheme="minorHAnsi" w:hAnsiTheme="minorHAnsi"/>
        </w:rPr>
        <w:t xml:space="preserve"> also</w:t>
      </w:r>
      <w:r w:rsidRPr="00A2277A">
        <w:rPr>
          <w:rFonts w:asciiTheme="minorHAnsi" w:hAnsiTheme="minorHAnsi"/>
        </w:rPr>
        <w:t xml:space="preserve"> be reduced due to increased burner combustion efficiencies resulting in less pollution and/or decreased fuel usage.</w:t>
      </w:r>
    </w:p>
    <w:p w:rsidR="009B2F9B" w:rsidRPr="00A2277A" w:rsidRDefault="0025362E" w:rsidP="0025362E">
      <w:pPr>
        <w:pStyle w:val="Heading2"/>
      </w:pPr>
      <w:bookmarkStart w:id="281" w:name="_Toc461020987"/>
      <w:bookmarkStart w:id="282" w:name="_Toc461025652"/>
      <w:bookmarkStart w:id="283" w:name="_Toc461025861"/>
      <w:bookmarkStart w:id="284" w:name="_Toc461027131"/>
      <w:r>
        <w:t>3</w:t>
      </w:r>
      <w:r w:rsidR="009B2F9B" w:rsidRPr="00A2277A">
        <w:t>.3.</w:t>
      </w:r>
      <w:r w:rsidR="009B2F9B" w:rsidRPr="00A2277A">
        <w:tab/>
        <w:t>Performance Standards for High Electric Demand Day Combustion Turbines (HEDDCT)</w:t>
      </w:r>
      <w:bookmarkEnd w:id="281"/>
      <w:bookmarkEnd w:id="282"/>
      <w:bookmarkEnd w:id="283"/>
      <w:bookmarkEnd w:id="284"/>
    </w:p>
    <w:p w:rsidR="009B2F9B" w:rsidRPr="00A2277A" w:rsidRDefault="009B2F9B" w:rsidP="0081054E">
      <w:pPr>
        <w:spacing w:after="120" w:line="240" w:lineRule="auto"/>
        <w:jc w:val="both"/>
        <w:rPr>
          <w:rFonts w:asciiTheme="minorHAnsi" w:hAnsiTheme="minorHAnsi"/>
        </w:rPr>
      </w:pPr>
      <w:r w:rsidRPr="00A2277A">
        <w:rPr>
          <w:rFonts w:asciiTheme="minorHAnsi" w:hAnsiTheme="minorHAnsi"/>
        </w:rPr>
        <w:t>This OTC model rule applies to high electric demand day combustion turbines (HEDDCT).  For the purpose of this rule, a HEDDCT is defined as a</w:t>
      </w:r>
      <w:r w:rsidRPr="00A2277A">
        <w:rPr>
          <w:rFonts w:asciiTheme="minorHAnsi" w:hAnsiTheme="minorHAnsi"/>
          <w:snapToGrid w:val="0"/>
        </w:rPr>
        <w:t xml:space="preserve"> [5 – 15]</w:t>
      </w:r>
      <w:r w:rsidRPr="00A2277A">
        <w:rPr>
          <w:rFonts w:asciiTheme="minorHAnsi" w:hAnsiTheme="minorHAnsi"/>
        </w:rPr>
        <w:t xml:space="preserve"> </w:t>
      </w:r>
      <w:r w:rsidRPr="00A2277A">
        <w:rPr>
          <w:rFonts w:asciiTheme="minorHAnsi" w:hAnsiTheme="minorHAnsi"/>
          <w:snapToGrid w:val="0"/>
        </w:rPr>
        <w:t>megawatts (MW) or larger</w:t>
      </w:r>
      <w:r w:rsidRPr="00A2277A">
        <w:rPr>
          <w:rFonts w:asciiTheme="minorHAnsi" w:hAnsiTheme="minorHAnsi"/>
        </w:rPr>
        <w:t xml:space="preserve"> (depending on distribution of generating units in individual states) natural gas or distillate fuel oil fired combustion turbine that generates electricity, at least part of which is delivered to the power grid for commercial sale, that began operating prior to May 1, 2007 and was operated less than or equal to 50 percent of the time during the ozone seasons of 2007 through 2009.  B</w:t>
      </w:r>
      <w:r w:rsidRPr="00A2277A">
        <w:rPr>
          <w:rStyle w:val="NoSpacingChar"/>
        </w:rPr>
        <w:t xml:space="preserve">oilers serving </w:t>
      </w:r>
      <w:r w:rsidRPr="00A2277A">
        <w:rPr>
          <w:rFonts w:asciiTheme="minorHAnsi" w:hAnsiTheme="minorHAnsi"/>
        </w:rPr>
        <w:t>EGUs</w:t>
      </w:r>
      <w:r w:rsidRPr="00A2277A">
        <w:rPr>
          <w:rStyle w:val="NoSpacingChar"/>
        </w:rPr>
        <w:t xml:space="preserve"> and Distributed Generators </w:t>
      </w:r>
      <w:r w:rsidRPr="00A2277A">
        <w:rPr>
          <w:rFonts w:asciiTheme="minorHAnsi" w:hAnsiTheme="minorHAnsi"/>
        </w:rPr>
        <w:t xml:space="preserve">are not addressed by this rule; instead they are covered </w:t>
      </w:r>
      <w:r w:rsidR="0060782B">
        <w:rPr>
          <w:noProof/>
        </w:rPr>
        <mc:AlternateContent>
          <mc:Choice Requires="wps">
            <w:drawing>
              <wp:anchor distT="0" distB="0" distL="114300" distR="114300" simplePos="0" relativeHeight="251745280" behindDoc="0" locked="1" layoutInCell="1" allowOverlap="0" wp14:anchorId="37F0C09B" wp14:editId="2A19CA42">
                <wp:simplePos x="0" y="0"/>
                <wp:positionH relativeFrom="margin">
                  <wp:posOffset>2914650</wp:posOffset>
                </wp:positionH>
                <wp:positionV relativeFrom="bottomMargin">
                  <wp:posOffset>178435</wp:posOffset>
                </wp:positionV>
                <wp:extent cx="914400" cy="237490"/>
                <wp:effectExtent l="0" t="0" r="0" b="0"/>
                <wp:wrapNone/>
                <wp:docPr id="2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237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782B" w:rsidRDefault="0060782B" w:rsidP="0060782B">
                            <w:pPr>
                              <w:ind w:right="60"/>
                              <w:rPr>
                                <w:rFonts w:asciiTheme="minorHAnsi" w:hAnsiTheme="minorHAnsi"/>
                                <w:sz w:val="20"/>
                                <w:szCs w:val="20"/>
                              </w:rPr>
                            </w:pPr>
                            <w:hyperlink w:anchor="TOC" w:history="1">
                              <w:r>
                                <w:rPr>
                                  <w:rStyle w:val="Hyperlink"/>
                                  <w:sz w:val="20"/>
                                  <w:szCs w:val="20"/>
                                </w:rPr>
                                <w:t>Back to TOC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0C09B" id="Text Box 210" o:spid="_x0000_s1059" type="#_x0000_t202" style="position:absolute;left:0;text-align:left;margin-left:229.5pt;margin-top:14.05pt;width:1in;height:18.7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H5mAIAAK4FAAAOAAAAZHJzL2Uyb0RvYy54bWysVFFPGzEMfp+0/xDlfVxbCowTV9SBmCZV&#10;gAYTz2kuoRFJnCVp77pfj5O7K4XxwrSXOyf+bMf2Z5+dt0aTjfBBga3o+GBEibAcamUfK/rr/urL&#10;V0pCZLZmGqyo6FYEej77/OmscaWYwAp0LTxBJzaUjavoKkZXFkXgK2FYOAAnLColeMMiHv1jUXvW&#10;oHeji8lodFw04GvngYsQ8PayU9JZ9i+l4PFGyiAi0RXFt8X89fm7TN9idsbKR8/cSvH+GewfXmGY&#10;shh05+qSRUbWXv3lyijuIYCMBxxMAVIqLnIOmM149CabuxVzIueCxQluV6bw/9zy682tJ6qu6GSM&#10;9bHMYJPuRRvJN2hJusMKNS6UCLxzCI0tKrDTOdvgFsCfAkKKPUxnEBCdKtJKb9IfcyVoiEG2u8Kn&#10;OBwvT8fT6Qg1HFWTw5PpaQ5bvBg7H+J3AYYkoaIe+5ofwDaLEFN4Vg6QFCuAVvWV0jofEpfEhfZk&#10;w5AFOo5TTmjxCqUtaSp6fHg0yo4tJPMOp21yIzKb+nAp2y7BLMWtFgmj7U8hsZo5z3diM86F3cXP&#10;6ISSGOojhj3+5VUfMe7yQIscGWzcGRtlwXd9fV2y+mkomezwfb9Dl3cqQWyXbabR4cnAmCXUWySM&#10;h27oguNXCru3YCHeMo9Thg3HzRFv8CM1YPWhlyhZgf/z3n3CI/lRS0mDU1vR8HvNvKBE/7A4FplI&#10;OOb5MD06mWAMv69Z7mvs2lwAUmKMO8rxLCZ81IMoPZgHXDDzFBVVzHKMXdE4iBex2yW4oLiYzzMI&#10;B9uxuLB3jg9zkrh53z4w73oCR2T+NQzzzco3PO6wqUEW5usIUmWSp0J3Ve0bgEshM7lfYGnr7J8z&#10;6mXNzp4BAAD//wMAUEsDBBQABgAIAAAAIQCBxc5m4AAAAAkBAAAPAAAAZHJzL2Rvd25yZXYueG1s&#10;TI8xb8IwEIV3pP4H6yp1QcUJJYiGOKiqigQDQ9MubCY+kqjxObINpP++16nd7u49vftesRltL67o&#10;Q+dIQTpLQCDVznTUKPj82D6uQISoyejeESr4xgCb8m5S6Ny4G73jtYqN4BAKuVbQxjjkUoa6RavD&#10;zA1IrJ2dtzry6htpvL5xuO3lPEmW0uqO+EOrB3xtsf6qLlbBIRx306PfbadVMHKPeHjbp1Gph/vx&#10;ZQ0i4hj/zPCLz+hQMtPJXcgE0StYZM/cJSqYr1IQbFgmT3w48ZBlIMtC/m9Q/gAAAP//AwBQSwEC&#10;LQAUAAYACAAAACEAtoM4kv4AAADhAQAAEwAAAAAAAAAAAAAAAAAAAAAAW0NvbnRlbnRfVHlwZXNd&#10;LnhtbFBLAQItABQABgAIAAAAIQA4/SH/1gAAAJQBAAALAAAAAAAAAAAAAAAAAC8BAABfcmVscy8u&#10;cmVsc1BLAQItABQABgAIAAAAIQCWP/H5mAIAAK4FAAAOAAAAAAAAAAAAAAAAAC4CAABkcnMvZTJv&#10;RG9jLnhtbFBLAQItABQABgAIAAAAIQCBxc5m4AAAAAkBAAAPAAAAAAAAAAAAAAAAAPIEAABkcnMv&#10;ZG93bnJldi54bWxQSwUGAAAAAAQABADzAAAA/wUAAAAA&#10;" o:allowoverlap="f" fillcolor="white [3201]" stroked="f" strokeweight=".5pt">
                <v:path arrowok="t"/>
                <v:textbox>
                  <w:txbxContent>
                    <w:p w:rsidR="0060782B" w:rsidRDefault="0060782B" w:rsidP="0060782B">
                      <w:pPr>
                        <w:ind w:right="60"/>
                        <w:rPr>
                          <w:rFonts w:asciiTheme="minorHAnsi" w:hAnsiTheme="minorHAnsi"/>
                          <w:sz w:val="20"/>
                          <w:szCs w:val="20"/>
                        </w:rPr>
                      </w:pPr>
                      <w:hyperlink w:anchor="TOC" w:history="1">
                        <w:r>
                          <w:rPr>
                            <w:rStyle w:val="Hyperlink"/>
                            <w:sz w:val="20"/>
                            <w:szCs w:val="20"/>
                          </w:rPr>
                          <w:t>Back to TOC</w:t>
                        </w:r>
                      </w:hyperlink>
                    </w:p>
                  </w:txbxContent>
                </v:textbox>
                <w10:wrap anchorx="margin" anchory="margin"/>
                <w10:anchorlock/>
              </v:shape>
            </w:pict>
          </mc:Fallback>
        </mc:AlternateContent>
      </w:r>
      <w:r w:rsidRPr="00A2277A">
        <w:rPr>
          <w:rFonts w:asciiTheme="minorHAnsi" w:hAnsiTheme="minorHAnsi"/>
        </w:rPr>
        <w:t>under a separate OTC model rule.</w:t>
      </w:r>
    </w:p>
    <w:p w:rsidR="009B2F9B" w:rsidRPr="00A2277A" w:rsidRDefault="009B2F9B" w:rsidP="0081054E">
      <w:pPr>
        <w:pStyle w:val="NoSpacing"/>
        <w:spacing w:after="120"/>
        <w:jc w:val="both"/>
        <w:rPr>
          <w:rFonts w:asciiTheme="minorHAnsi" w:hAnsiTheme="minorHAnsi"/>
        </w:rPr>
      </w:pPr>
      <w:r w:rsidRPr="00A2277A">
        <w:rPr>
          <w:rFonts w:asciiTheme="minorHAnsi" w:hAnsiTheme="minorHAnsi"/>
        </w:rPr>
        <w:lastRenderedPageBreak/>
        <w:t>This rule is an update to the June 13, 2007 OTC MOU that resolves to develop long-term NOx performance standards on High Electric Demand Days for these units. On November 10, 2010, the OTC adopted a Resolution, wherein member states agreed to pursue, as necessary and appropriate, state-specific rulemakings to update state rules in accordance with the 2009 OTC Performance Standards for High Electric Demand Day Combustion Turbines (HEDDCT) Model Rule.</w:t>
      </w:r>
    </w:p>
    <w:p w:rsidR="009B2F9B" w:rsidRPr="00A2277A" w:rsidRDefault="0025362E" w:rsidP="0025362E">
      <w:pPr>
        <w:pStyle w:val="Heading3"/>
      </w:pPr>
      <w:bookmarkStart w:id="285" w:name="_Toc461020988"/>
      <w:bookmarkStart w:id="286" w:name="_Toc461025653"/>
      <w:bookmarkStart w:id="287" w:name="_Toc461025862"/>
      <w:bookmarkStart w:id="288" w:name="_Toc461027132"/>
      <w:r>
        <w:t>3</w:t>
      </w:r>
      <w:r w:rsidR="009B2F9B">
        <w:t>.3.1</w:t>
      </w:r>
      <w:r w:rsidR="009B2F9B">
        <w:tab/>
      </w:r>
      <w:r>
        <w:tab/>
      </w:r>
      <w:r w:rsidR="009B2F9B" w:rsidRPr="00A2277A">
        <w:t>Federal Standards</w:t>
      </w:r>
      <w:bookmarkEnd w:id="285"/>
      <w:bookmarkEnd w:id="286"/>
      <w:bookmarkEnd w:id="287"/>
      <w:bookmarkEnd w:id="288"/>
    </w:p>
    <w:p w:rsidR="009B2F9B" w:rsidRPr="00A2277A" w:rsidRDefault="006633FD" w:rsidP="0081054E">
      <w:pPr>
        <w:pStyle w:val="NoSpacing"/>
        <w:spacing w:after="120"/>
        <w:ind w:left="360"/>
        <w:jc w:val="both"/>
        <w:rPr>
          <w:rFonts w:asciiTheme="minorHAnsi" w:hAnsiTheme="minorHAnsi"/>
        </w:rPr>
      </w:pPr>
      <w:r>
        <w:rPr>
          <w:rFonts w:asciiTheme="minorHAnsi" w:hAnsiTheme="minorHAnsi"/>
          <w:bCs/>
        </w:rPr>
        <w:t>Table 3-7</w:t>
      </w:r>
      <w:r w:rsidR="009B2F9B" w:rsidRPr="00A2277A">
        <w:rPr>
          <w:rFonts w:asciiTheme="minorHAnsi" w:hAnsiTheme="minorHAnsi"/>
        </w:rPr>
        <w:t xml:space="preserve"> summarizes the applicable Federal New Source Performance Standards (NSPS).</w:t>
      </w:r>
    </w:p>
    <w:p w:rsidR="002E3B98" w:rsidRPr="002E3B98" w:rsidRDefault="002E3B98" w:rsidP="002E3B98">
      <w:pPr>
        <w:pStyle w:val="Caption"/>
        <w:keepNext/>
        <w:spacing w:before="120" w:after="120"/>
        <w:rPr>
          <w:rFonts w:asciiTheme="minorHAnsi" w:hAnsiTheme="minorHAnsi"/>
          <w:sz w:val="22"/>
          <w:szCs w:val="22"/>
        </w:rPr>
      </w:pPr>
      <w:bookmarkStart w:id="289" w:name="_Toc461106808"/>
      <w:r w:rsidRPr="002E3B98">
        <w:rPr>
          <w:rFonts w:asciiTheme="minorHAnsi" w:hAnsiTheme="minorHAnsi"/>
          <w:sz w:val="22"/>
          <w:szCs w:val="22"/>
        </w:rPr>
        <w:t>Table 3-7</w:t>
      </w:r>
      <w:r w:rsidR="00FD75BF">
        <w:rPr>
          <w:rFonts w:asciiTheme="minorHAnsi" w:hAnsiTheme="minorHAnsi"/>
          <w:sz w:val="22"/>
          <w:szCs w:val="22"/>
        </w:rPr>
        <w:tab/>
      </w:r>
      <w:r w:rsidR="00E041E3" w:rsidRPr="00E041E3">
        <w:rPr>
          <w:rFonts w:asciiTheme="minorHAnsi" w:hAnsiTheme="minorHAnsi"/>
          <w:sz w:val="22"/>
          <w:szCs w:val="22"/>
        </w:rPr>
        <w:t>Federal Maximum Allowable Emission Limits of NOx for New Turbines</w:t>
      </w:r>
      <w:bookmarkEnd w:id="289"/>
    </w:p>
    <w:tbl>
      <w:tblPr>
        <w:tblW w:w="0" w:type="auto"/>
        <w:tblInd w:w="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2806"/>
        <w:gridCol w:w="6482"/>
      </w:tblGrid>
      <w:tr w:rsidR="009B2F9B" w:rsidRPr="00A2277A" w:rsidTr="00EE78E5">
        <w:trPr>
          <w:trHeight w:val="473"/>
        </w:trPr>
        <w:tc>
          <w:tcPr>
            <w:tcW w:w="2806" w:type="dxa"/>
            <w:tcBorders>
              <w:top w:val="single" w:sz="4" w:space="0" w:color="auto"/>
            </w:tcBorders>
            <w:vAlign w:val="center"/>
          </w:tcPr>
          <w:p w:rsidR="009B2F9B" w:rsidRPr="00A2277A" w:rsidRDefault="009B2F9B" w:rsidP="0081054E">
            <w:pPr>
              <w:spacing w:line="240" w:lineRule="auto"/>
              <w:rPr>
                <w:rFonts w:asciiTheme="minorHAnsi" w:hAnsiTheme="minorHAnsi" w:cs="Times New (W1)"/>
                <w:u w:val="single"/>
              </w:rPr>
            </w:pPr>
            <w:r w:rsidRPr="00A2277A">
              <w:rPr>
                <w:rFonts w:asciiTheme="minorHAnsi" w:hAnsiTheme="minorHAnsi" w:cs="Times New (W1)"/>
                <w:u w:val="single"/>
              </w:rPr>
              <w:t>Federal Regulations</w:t>
            </w:r>
          </w:p>
        </w:tc>
        <w:tc>
          <w:tcPr>
            <w:tcW w:w="6482" w:type="dxa"/>
            <w:tcBorders>
              <w:top w:val="single" w:sz="4" w:space="0" w:color="auto"/>
            </w:tcBorders>
            <w:vAlign w:val="center"/>
          </w:tcPr>
          <w:p w:rsidR="009B2F9B" w:rsidRPr="00A2277A" w:rsidRDefault="009B2F9B" w:rsidP="0081054E">
            <w:pPr>
              <w:spacing w:after="0" w:line="240" w:lineRule="auto"/>
              <w:rPr>
                <w:rFonts w:asciiTheme="minorHAnsi" w:hAnsiTheme="minorHAnsi" w:cs="Times New (W1)"/>
              </w:rPr>
            </w:pPr>
            <w:r w:rsidRPr="00A2277A">
              <w:rPr>
                <w:rFonts w:asciiTheme="minorHAnsi" w:hAnsiTheme="minorHAnsi" w:cs="Times New (W1)"/>
              </w:rPr>
              <w:t>40 CFR 60.4300 NSPS Subpart KKKK (Effective After 2/18/05)</w:t>
            </w:r>
          </w:p>
          <w:p w:rsidR="009B2F9B" w:rsidRPr="00A2277A" w:rsidRDefault="009B2F9B" w:rsidP="0081054E">
            <w:pPr>
              <w:spacing w:after="0" w:line="240" w:lineRule="auto"/>
              <w:rPr>
                <w:rFonts w:asciiTheme="minorHAnsi" w:hAnsiTheme="minorHAnsi" w:cs="Times New (W1)"/>
                <w:color w:val="0000FF"/>
                <w:u w:val="single"/>
              </w:rPr>
            </w:pPr>
            <w:r w:rsidRPr="00A2277A">
              <w:rPr>
                <w:rFonts w:asciiTheme="minorHAnsi" w:hAnsiTheme="minorHAnsi"/>
              </w:rPr>
              <w:t>(Source: 71 FR 38497, July 6, 2006)</w:t>
            </w:r>
          </w:p>
        </w:tc>
      </w:tr>
      <w:tr w:rsidR="009B2F9B" w:rsidRPr="00A2277A" w:rsidTr="00EE78E5">
        <w:trPr>
          <w:trHeight w:val="318"/>
        </w:trPr>
        <w:tc>
          <w:tcPr>
            <w:tcW w:w="2806" w:type="dxa"/>
            <w:vAlign w:val="center"/>
          </w:tcPr>
          <w:p w:rsidR="009B2F9B" w:rsidRPr="00A2277A" w:rsidRDefault="009B2F9B" w:rsidP="0081054E">
            <w:pPr>
              <w:spacing w:after="0" w:line="240" w:lineRule="auto"/>
              <w:rPr>
                <w:rFonts w:asciiTheme="minorHAnsi" w:hAnsiTheme="minorHAnsi" w:cs="Times New (W1)"/>
                <w:u w:val="single"/>
              </w:rPr>
            </w:pPr>
            <w:r w:rsidRPr="00A2277A">
              <w:rPr>
                <w:rFonts w:asciiTheme="minorHAnsi" w:hAnsiTheme="minorHAnsi" w:cs="Times New (W1)"/>
                <w:u w:val="single"/>
              </w:rPr>
              <w:t>Pollutant</w:t>
            </w:r>
          </w:p>
        </w:tc>
        <w:tc>
          <w:tcPr>
            <w:tcW w:w="6482" w:type="dxa"/>
            <w:vAlign w:val="center"/>
          </w:tcPr>
          <w:p w:rsidR="009B2F9B" w:rsidRPr="00A2277A" w:rsidRDefault="009B2F9B" w:rsidP="0081054E">
            <w:pPr>
              <w:pStyle w:val="Level9"/>
              <w:jc w:val="center"/>
              <w:rPr>
                <w:rFonts w:asciiTheme="minorHAnsi" w:hAnsiTheme="minorHAnsi" w:cs="Times New (W1)"/>
                <w:b w:val="0"/>
                <w:bCs/>
                <w:szCs w:val="24"/>
              </w:rPr>
            </w:pPr>
            <w:r w:rsidRPr="00A2277A">
              <w:rPr>
                <w:rFonts w:asciiTheme="minorHAnsi" w:hAnsiTheme="minorHAnsi" w:cs="Times New (W1)"/>
                <w:b w:val="0"/>
                <w:szCs w:val="24"/>
              </w:rPr>
              <w:t>NO</w:t>
            </w:r>
            <w:r w:rsidRPr="00A2277A">
              <w:rPr>
                <w:rFonts w:asciiTheme="minorHAnsi" w:hAnsiTheme="minorHAnsi" w:cs="Times New (W1)"/>
                <w:b w:val="0"/>
                <w:szCs w:val="24"/>
                <w:vertAlign w:val="subscript"/>
              </w:rPr>
              <w:t>x</w:t>
            </w:r>
          </w:p>
        </w:tc>
      </w:tr>
      <w:tr w:rsidR="009B2F9B" w:rsidRPr="00A2277A" w:rsidTr="00EE78E5">
        <w:trPr>
          <w:trHeight w:val="473"/>
        </w:trPr>
        <w:tc>
          <w:tcPr>
            <w:tcW w:w="2806" w:type="dxa"/>
            <w:tcBorders>
              <w:bottom w:val="single" w:sz="4" w:space="0" w:color="auto"/>
            </w:tcBorders>
            <w:vAlign w:val="center"/>
          </w:tcPr>
          <w:p w:rsidR="009B2F9B" w:rsidRPr="00A2277A" w:rsidRDefault="009B2F9B" w:rsidP="0081054E">
            <w:pPr>
              <w:spacing w:line="240" w:lineRule="auto"/>
              <w:rPr>
                <w:rFonts w:asciiTheme="minorHAnsi" w:hAnsiTheme="minorHAnsi" w:cs="Times New (W1)"/>
                <w:u w:val="single"/>
              </w:rPr>
            </w:pPr>
            <w:r w:rsidRPr="00A2277A">
              <w:rPr>
                <w:rFonts w:asciiTheme="minorHAnsi" w:hAnsiTheme="minorHAnsi" w:cs="Times New (W1)"/>
                <w:u w:val="single"/>
              </w:rPr>
              <w:t>Performance Standards</w:t>
            </w:r>
          </w:p>
        </w:tc>
        <w:tc>
          <w:tcPr>
            <w:tcW w:w="6482" w:type="dxa"/>
            <w:tcBorders>
              <w:bottom w:val="single" w:sz="4" w:space="0" w:color="auto"/>
            </w:tcBorders>
          </w:tcPr>
          <w:p w:rsidR="009B2F9B" w:rsidRPr="00A2277A" w:rsidRDefault="009B2F9B" w:rsidP="0081054E">
            <w:pPr>
              <w:pStyle w:val="Level9"/>
              <w:jc w:val="center"/>
              <w:rPr>
                <w:rFonts w:asciiTheme="minorHAnsi" w:hAnsiTheme="minorHAnsi" w:cs="Times New (W1)"/>
                <w:szCs w:val="24"/>
                <w:u w:val="single"/>
              </w:rPr>
            </w:pPr>
            <w:r w:rsidRPr="00A2277A">
              <w:rPr>
                <w:rFonts w:asciiTheme="minorHAnsi" w:hAnsiTheme="minorHAnsi" w:cs="Times New (W1)"/>
                <w:szCs w:val="24"/>
                <w:u w:val="single"/>
              </w:rPr>
              <w:t>Natural Gas</w:t>
            </w:r>
          </w:p>
          <w:p w:rsidR="009B2F9B" w:rsidRPr="00A2277A" w:rsidRDefault="009B2F9B" w:rsidP="0081054E">
            <w:pPr>
              <w:pStyle w:val="Level9"/>
              <w:jc w:val="center"/>
              <w:rPr>
                <w:rFonts w:asciiTheme="minorHAnsi" w:hAnsiTheme="minorHAnsi"/>
                <w:szCs w:val="24"/>
              </w:rPr>
            </w:pPr>
            <w:r w:rsidRPr="00A2277A">
              <w:rPr>
                <w:rFonts w:asciiTheme="minorHAnsi" w:hAnsiTheme="minorHAnsi"/>
                <w:szCs w:val="24"/>
              </w:rPr>
              <w:t>Construction:</w:t>
            </w:r>
          </w:p>
          <w:p w:rsidR="009B2F9B" w:rsidRPr="00A2277A" w:rsidRDefault="009B2F9B" w:rsidP="0081054E">
            <w:pPr>
              <w:pStyle w:val="Level9"/>
              <w:jc w:val="center"/>
              <w:rPr>
                <w:rFonts w:asciiTheme="minorHAnsi" w:hAnsiTheme="minorHAnsi"/>
                <w:b w:val="0"/>
                <w:bCs/>
                <w:szCs w:val="24"/>
              </w:rPr>
            </w:pPr>
            <w:r w:rsidRPr="00A2277A">
              <w:rPr>
                <w:rFonts w:asciiTheme="minorHAnsi" w:hAnsiTheme="minorHAnsi"/>
                <w:b w:val="0"/>
                <w:szCs w:val="24"/>
              </w:rPr>
              <w:t xml:space="preserve">&lt;=50 MMBtu/hr: 2.3 pounds/MWh or 42 ppm </w:t>
            </w:r>
          </w:p>
          <w:p w:rsidR="009B2F9B" w:rsidRPr="00A2277A" w:rsidRDefault="009B2F9B" w:rsidP="0081054E">
            <w:pPr>
              <w:pStyle w:val="Level9"/>
              <w:jc w:val="center"/>
              <w:rPr>
                <w:rFonts w:asciiTheme="minorHAnsi" w:hAnsiTheme="minorHAnsi"/>
                <w:b w:val="0"/>
                <w:bCs/>
                <w:szCs w:val="24"/>
              </w:rPr>
            </w:pPr>
            <w:r w:rsidRPr="00A2277A">
              <w:rPr>
                <w:rFonts w:asciiTheme="minorHAnsi" w:hAnsiTheme="minorHAnsi"/>
                <w:b w:val="0"/>
                <w:szCs w:val="24"/>
              </w:rPr>
              <w:t>&gt;50 and &lt;=850 MMBtu/hr: 1.2 pounds/MWh or 25 ppm</w:t>
            </w:r>
          </w:p>
          <w:p w:rsidR="009B2F9B" w:rsidRPr="00A2277A" w:rsidRDefault="009B2F9B" w:rsidP="0081054E">
            <w:pPr>
              <w:pStyle w:val="Level9"/>
              <w:jc w:val="center"/>
              <w:rPr>
                <w:rFonts w:asciiTheme="minorHAnsi" w:hAnsiTheme="minorHAnsi"/>
                <w:b w:val="0"/>
                <w:bCs/>
                <w:szCs w:val="24"/>
              </w:rPr>
            </w:pPr>
            <w:r w:rsidRPr="00A2277A">
              <w:rPr>
                <w:rFonts w:asciiTheme="minorHAnsi" w:hAnsiTheme="minorHAnsi"/>
                <w:b w:val="0"/>
                <w:szCs w:val="24"/>
              </w:rPr>
              <w:t xml:space="preserve">&gt;850 MMBtu/hr: 0.43 pounds/MWh or 15 ppm </w:t>
            </w:r>
          </w:p>
          <w:p w:rsidR="009B2F9B" w:rsidRPr="00A2277A" w:rsidRDefault="009B2F9B" w:rsidP="0081054E">
            <w:pPr>
              <w:pStyle w:val="Level9"/>
              <w:jc w:val="center"/>
              <w:rPr>
                <w:rFonts w:asciiTheme="minorHAnsi" w:hAnsiTheme="minorHAnsi"/>
                <w:szCs w:val="24"/>
              </w:rPr>
            </w:pPr>
            <w:r w:rsidRPr="00A2277A">
              <w:rPr>
                <w:rFonts w:asciiTheme="minorHAnsi" w:hAnsiTheme="minorHAnsi"/>
                <w:szCs w:val="24"/>
              </w:rPr>
              <w:t>Reconstruction:</w:t>
            </w:r>
          </w:p>
          <w:p w:rsidR="009B2F9B" w:rsidRPr="00A2277A" w:rsidRDefault="009B2F9B" w:rsidP="0081054E">
            <w:pPr>
              <w:pStyle w:val="Level9"/>
              <w:jc w:val="center"/>
              <w:rPr>
                <w:rFonts w:asciiTheme="minorHAnsi" w:hAnsiTheme="minorHAnsi"/>
                <w:szCs w:val="24"/>
              </w:rPr>
            </w:pPr>
            <w:r w:rsidRPr="00A2277A">
              <w:rPr>
                <w:rFonts w:asciiTheme="minorHAnsi" w:hAnsiTheme="minorHAnsi"/>
                <w:b w:val="0"/>
                <w:szCs w:val="24"/>
              </w:rPr>
              <w:t>&lt;=50 MMBtu/hr: 8.7 pounds/MWh or 150 ppm</w:t>
            </w:r>
          </w:p>
          <w:p w:rsidR="009B2F9B" w:rsidRPr="00A2277A" w:rsidRDefault="009B2F9B" w:rsidP="0081054E">
            <w:pPr>
              <w:pStyle w:val="Level9"/>
              <w:jc w:val="center"/>
              <w:rPr>
                <w:rFonts w:asciiTheme="minorHAnsi" w:hAnsiTheme="minorHAnsi"/>
                <w:b w:val="0"/>
                <w:bCs/>
                <w:szCs w:val="24"/>
              </w:rPr>
            </w:pPr>
            <w:r w:rsidRPr="00A2277A">
              <w:rPr>
                <w:rFonts w:asciiTheme="minorHAnsi" w:hAnsiTheme="minorHAnsi"/>
                <w:b w:val="0"/>
                <w:szCs w:val="24"/>
              </w:rPr>
              <w:t>&gt;50 and &lt;=850 MMBtu/hr: 2.0 pounds/MWh or 42 ppm &gt;850 MMBtu/hr: 0.43 pounds/MWh or 15 ppm</w:t>
            </w:r>
          </w:p>
          <w:p w:rsidR="009B2F9B" w:rsidRPr="00A2277A" w:rsidRDefault="009B2F9B" w:rsidP="0081054E">
            <w:pPr>
              <w:pStyle w:val="Level9"/>
              <w:jc w:val="center"/>
              <w:rPr>
                <w:rFonts w:asciiTheme="minorHAnsi" w:hAnsiTheme="minorHAnsi"/>
                <w:szCs w:val="24"/>
              </w:rPr>
            </w:pPr>
            <w:r w:rsidRPr="00A2277A">
              <w:rPr>
                <w:rFonts w:asciiTheme="minorHAnsi" w:hAnsiTheme="minorHAnsi"/>
                <w:szCs w:val="24"/>
              </w:rPr>
              <w:t>Modification:</w:t>
            </w:r>
          </w:p>
          <w:p w:rsidR="009B2F9B" w:rsidRPr="00A2277A" w:rsidRDefault="009B2F9B" w:rsidP="0081054E">
            <w:pPr>
              <w:pStyle w:val="Level9"/>
              <w:jc w:val="center"/>
              <w:rPr>
                <w:rFonts w:asciiTheme="minorHAnsi" w:hAnsiTheme="minorHAnsi"/>
                <w:szCs w:val="24"/>
              </w:rPr>
            </w:pPr>
            <w:r w:rsidRPr="00A2277A">
              <w:rPr>
                <w:rFonts w:asciiTheme="minorHAnsi" w:hAnsiTheme="minorHAnsi"/>
                <w:b w:val="0"/>
                <w:szCs w:val="24"/>
              </w:rPr>
              <w:t>&lt;=50 MMBtu/hr: 8.7 pounds/MWh or 150 ppm</w:t>
            </w:r>
          </w:p>
          <w:p w:rsidR="009B2F9B" w:rsidRPr="00A2277A" w:rsidRDefault="009B2F9B" w:rsidP="0081054E">
            <w:pPr>
              <w:pStyle w:val="Level9"/>
              <w:jc w:val="center"/>
              <w:rPr>
                <w:rFonts w:asciiTheme="minorHAnsi" w:hAnsiTheme="minorHAnsi"/>
                <w:b w:val="0"/>
                <w:bCs/>
                <w:szCs w:val="24"/>
              </w:rPr>
            </w:pPr>
            <w:r w:rsidRPr="00A2277A">
              <w:rPr>
                <w:rFonts w:asciiTheme="minorHAnsi" w:hAnsiTheme="minorHAnsi"/>
                <w:b w:val="0"/>
                <w:szCs w:val="24"/>
              </w:rPr>
              <w:t>&gt;50 and &lt;=850 MMBtu/hr: 2.0 pounds/MWh or 42 ppm &gt;850 MMBtu/hr: 0.43 pounds/MWh or 15 ppm</w:t>
            </w:r>
          </w:p>
          <w:p w:rsidR="009B2F9B" w:rsidRPr="00A2277A" w:rsidRDefault="009B2F9B" w:rsidP="0081054E">
            <w:pPr>
              <w:pStyle w:val="Level9"/>
              <w:jc w:val="center"/>
              <w:rPr>
                <w:rFonts w:asciiTheme="minorHAnsi" w:hAnsiTheme="minorHAnsi" w:cs="Times New (W1)"/>
                <w:szCs w:val="24"/>
                <w:u w:val="single"/>
              </w:rPr>
            </w:pPr>
            <w:r w:rsidRPr="00A2277A">
              <w:rPr>
                <w:rFonts w:asciiTheme="minorHAnsi" w:hAnsiTheme="minorHAnsi" w:cs="Times New (W1)"/>
                <w:szCs w:val="24"/>
                <w:u w:val="single"/>
              </w:rPr>
              <w:t>Oil</w:t>
            </w:r>
          </w:p>
          <w:p w:rsidR="009B2F9B" w:rsidRPr="00A2277A" w:rsidRDefault="009B2F9B" w:rsidP="0081054E">
            <w:pPr>
              <w:pStyle w:val="Level9"/>
              <w:jc w:val="center"/>
              <w:rPr>
                <w:rFonts w:asciiTheme="minorHAnsi" w:hAnsiTheme="minorHAnsi"/>
                <w:szCs w:val="24"/>
              </w:rPr>
            </w:pPr>
            <w:r w:rsidRPr="00A2277A">
              <w:rPr>
                <w:rFonts w:asciiTheme="minorHAnsi" w:hAnsiTheme="minorHAnsi"/>
                <w:szCs w:val="24"/>
              </w:rPr>
              <w:t>Construction:</w:t>
            </w:r>
          </w:p>
          <w:p w:rsidR="009B2F9B" w:rsidRPr="00A2277A" w:rsidRDefault="009B2F9B" w:rsidP="0081054E">
            <w:pPr>
              <w:pStyle w:val="Level9"/>
              <w:jc w:val="center"/>
              <w:rPr>
                <w:rFonts w:asciiTheme="minorHAnsi" w:hAnsiTheme="minorHAnsi"/>
                <w:b w:val="0"/>
                <w:bCs/>
                <w:szCs w:val="24"/>
              </w:rPr>
            </w:pPr>
            <w:r w:rsidRPr="00A2277A">
              <w:rPr>
                <w:rFonts w:asciiTheme="minorHAnsi" w:hAnsiTheme="minorHAnsi"/>
                <w:b w:val="0"/>
                <w:szCs w:val="24"/>
              </w:rPr>
              <w:t xml:space="preserve">&lt;=50 MMBtu/hr: 5.5 pounds/MWh or 96 ppm </w:t>
            </w:r>
          </w:p>
          <w:p w:rsidR="009B2F9B" w:rsidRPr="00A2277A" w:rsidRDefault="009B2F9B" w:rsidP="0081054E">
            <w:pPr>
              <w:pStyle w:val="Level9"/>
              <w:jc w:val="center"/>
              <w:rPr>
                <w:rFonts w:asciiTheme="minorHAnsi" w:hAnsiTheme="minorHAnsi"/>
                <w:b w:val="0"/>
                <w:bCs/>
                <w:szCs w:val="24"/>
              </w:rPr>
            </w:pPr>
            <w:r w:rsidRPr="00A2277A">
              <w:rPr>
                <w:rFonts w:asciiTheme="minorHAnsi" w:hAnsiTheme="minorHAnsi"/>
                <w:b w:val="0"/>
                <w:szCs w:val="24"/>
              </w:rPr>
              <w:t>&gt;50 and &lt;=850 MMBtu/hr: 3.6 pounds/MWh or 74 ppm</w:t>
            </w:r>
          </w:p>
          <w:p w:rsidR="009B2F9B" w:rsidRPr="00A2277A" w:rsidRDefault="009B2F9B" w:rsidP="0081054E">
            <w:pPr>
              <w:pStyle w:val="Level9"/>
              <w:jc w:val="center"/>
              <w:rPr>
                <w:rFonts w:asciiTheme="minorHAnsi" w:hAnsiTheme="minorHAnsi"/>
                <w:b w:val="0"/>
                <w:bCs/>
                <w:szCs w:val="24"/>
              </w:rPr>
            </w:pPr>
            <w:r w:rsidRPr="00A2277A">
              <w:rPr>
                <w:rFonts w:asciiTheme="minorHAnsi" w:hAnsiTheme="minorHAnsi"/>
                <w:b w:val="0"/>
                <w:szCs w:val="24"/>
              </w:rPr>
              <w:t xml:space="preserve">&gt;850 MMBtu/hr: 1.3 pounds/MWh or 42 ppm </w:t>
            </w:r>
          </w:p>
          <w:p w:rsidR="009B2F9B" w:rsidRPr="00A2277A" w:rsidRDefault="009B2F9B" w:rsidP="0081054E">
            <w:pPr>
              <w:pStyle w:val="Level9"/>
              <w:jc w:val="center"/>
              <w:rPr>
                <w:rFonts w:asciiTheme="minorHAnsi" w:hAnsiTheme="minorHAnsi"/>
                <w:szCs w:val="24"/>
              </w:rPr>
            </w:pPr>
            <w:r w:rsidRPr="00A2277A">
              <w:rPr>
                <w:rFonts w:asciiTheme="minorHAnsi" w:hAnsiTheme="minorHAnsi"/>
                <w:szCs w:val="24"/>
              </w:rPr>
              <w:t>Reconstruction:</w:t>
            </w:r>
          </w:p>
          <w:p w:rsidR="009B2F9B" w:rsidRPr="00A2277A" w:rsidRDefault="009B2F9B" w:rsidP="0081054E">
            <w:pPr>
              <w:pStyle w:val="Level9"/>
              <w:jc w:val="center"/>
              <w:rPr>
                <w:rFonts w:asciiTheme="minorHAnsi" w:hAnsiTheme="minorHAnsi"/>
                <w:szCs w:val="24"/>
              </w:rPr>
            </w:pPr>
            <w:r w:rsidRPr="00A2277A">
              <w:rPr>
                <w:rFonts w:asciiTheme="minorHAnsi" w:hAnsiTheme="minorHAnsi"/>
                <w:b w:val="0"/>
                <w:szCs w:val="24"/>
              </w:rPr>
              <w:t>&lt;=50 MMBtu/hr: 8.7 pounds/MWh or 150 ppm</w:t>
            </w:r>
          </w:p>
          <w:p w:rsidR="009B2F9B" w:rsidRPr="00A2277A" w:rsidRDefault="009B2F9B" w:rsidP="0081054E">
            <w:pPr>
              <w:pStyle w:val="Level9"/>
              <w:jc w:val="center"/>
              <w:rPr>
                <w:rFonts w:asciiTheme="minorHAnsi" w:hAnsiTheme="minorHAnsi"/>
                <w:b w:val="0"/>
                <w:bCs/>
                <w:szCs w:val="24"/>
              </w:rPr>
            </w:pPr>
            <w:r w:rsidRPr="00A2277A">
              <w:rPr>
                <w:rFonts w:asciiTheme="minorHAnsi" w:hAnsiTheme="minorHAnsi"/>
                <w:b w:val="0"/>
                <w:szCs w:val="24"/>
              </w:rPr>
              <w:t>&gt;50 and &lt;=850 MMBtu/hr: 4.7 pounds/MWh or 96 ppm &gt;850 MMBtu/hr: 1.3 pounds/MWh or 42 ppm</w:t>
            </w:r>
          </w:p>
          <w:p w:rsidR="009B2F9B" w:rsidRPr="00A2277A" w:rsidRDefault="009B2F9B" w:rsidP="0081054E">
            <w:pPr>
              <w:pStyle w:val="Level9"/>
              <w:jc w:val="center"/>
              <w:rPr>
                <w:rFonts w:asciiTheme="minorHAnsi" w:hAnsiTheme="minorHAnsi"/>
                <w:szCs w:val="24"/>
              </w:rPr>
            </w:pPr>
            <w:r w:rsidRPr="00A2277A">
              <w:rPr>
                <w:rFonts w:asciiTheme="minorHAnsi" w:hAnsiTheme="minorHAnsi"/>
                <w:szCs w:val="24"/>
              </w:rPr>
              <w:t>Modification:</w:t>
            </w:r>
          </w:p>
          <w:p w:rsidR="009B2F9B" w:rsidRPr="00A2277A" w:rsidRDefault="009B2F9B" w:rsidP="0081054E">
            <w:pPr>
              <w:pStyle w:val="Level9"/>
              <w:jc w:val="center"/>
              <w:rPr>
                <w:rFonts w:asciiTheme="minorHAnsi" w:hAnsiTheme="minorHAnsi"/>
                <w:szCs w:val="24"/>
              </w:rPr>
            </w:pPr>
            <w:r w:rsidRPr="00A2277A">
              <w:rPr>
                <w:rFonts w:asciiTheme="minorHAnsi" w:hAnsiTheme="minorHAnsi"/>
                <w:b w:val="0"/>
                <w:szCs w:val="24"/>
              </w:rPr>
              <w:t>&lt;=50 MMBtu/hr: 8.7 pounds/MWh or 150 ppm</w:t>
            </w:r>
          </w:p>
          <w:p w:rsidR="009B2F9B" w:rsidRPr="00F13E6B" w:rsidRDefault="009B2F9B" w:rsidP="0081054E">
            <w:pPr>
              <w:pStyle w:val="Level9"/>
              <w:jc w:val="center"/>
              <w:rPr>
                <w:rFonts w:asciiTheme="minorHAnsi" w:hAnsiTheme="minorHAnsi"/>
                <w:b w:val="0"/>
                <w:bCs/>
                <w:szCs w:val="24"/>
              </w:rPr>
            </w:pPr>
            <w:r w:rsidRPr="00A2277A">
              <w:rPr>
                <w:rFonts w:asciiTheme="minorHAnsi" w:hAnsiTheme="minorHAnsi"/>
                <w:b w:val="0"/>
                <w:szCs w:val="24"/>
              </w:rPr>
              <w:t>&gt;50 and &lt;=850 MMBtu/hr: 4.7 pounds/MWh or 96 ppm &gt;850 MMBtu/hr: 1.3 pounds/MWh or 42 ppm</w:t>
            </w:r>
          </w:p>
        </w:tc>
      </w:tr>
    </w:tbl>
    <w:p w:rsidR="009B2F9B" w:rsidRPr="00A2277A" w:rsidRDefault="0060782B" w:rsidP="0081054E">
      <w:pPr>
        <w:pStyle w:val="NoSpacing"/>
        <w:spacing w:before="120" w:after="120"/>
        <w:jc w:val="center"/>
        <w:rPr>
          <w:rFonts w:asciiTheme="minorHAnsi" w:hAnsiTheme="minorHAnsi"/>
        </w:rPr>
      </w:pPr>
      <w:r>
        <w:rPr>
          <w:noProof/>
        </w:rPr>
        <mc:AlternateContent>
          <mc:Choice Requires="wps">
            <w:drawing>
              <wp:anchor distT="0" distB="0" distL="114300" distR="114300" simplePos="0" relativeHeight="251747328" behindDoc="0" locked="1" layoutInCell="1" allowOverlap="0" wp14:anchorId="40A0580A" wp14:editId="625E5AB0">
                <wp:simplePos x="0" y="0"/>
                <wp:positionH relativeFrom="margin">
                  <wp:posOffset>2600325</wp:posOffset>
                </wp:positionH>
                <wp:positionV relativeFrom="bottomMargin">
                  <wp:posOffset>138430</wp:posOffset>
                </wp:positionV>
                <wp:extent cx="914400" cy="237490"/>
                <wp:effectExtent l="0" t="0" r="0" b="0"/>
                <wp:wrapNone/>
                <wp:docPr id="21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237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782B" w:rsidRDefault="0060782B" w:rsidP="0060782B">
                            <w:pPr>
                              <w:ind w:right="60"/>
                              <w:rPr>
                                <w:rFonts w:asciiTheme="minorHAnsi" w:hAnsiTheme="minorHAnsi"/>
                                <w:sz w:val="20"/>
                                <w:szCs w:val="20"/>
                              </w:rPr>
                            </w:pPr>
                            <w:hyperlink w:anchor="TOC" w:history="1">
                              <w:r>
                                <w:rPr>
                                  <w:rStyle w:val="Hyperlink"/>
                                  <w:sz w:val="20"/>
                                  <w:szCs w:val="20"/>
                                </w:rPr>
                                <w:t>Back to TOC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0580A" id="Text Box 211" o:spid="_x0000_s1060" type="#_x0000_t202" style="position:absolute;left:0;text-align:left;margin-left:204.75pt;margin-top:10.9pt;width:1in;height:18.7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dlWlgIAAK4FAAAOAAAAZHJzL2Uyb0RvYy54bWysVEtPGzEQvlfqf7B8L5uE8FqxQSmIqlIE&#10;qFBxdrw2sbA9ru1kN/31HXt3Q6BcqHrZtT3fvL+Z84vWaLIRPiiwFR0fjCgRlkOt7FNFfz5cfzml&#10;JERma6bBiopuRaAXs8+fzhtXigmsQNfCEzRiQ9m4iq5idGVRBL4ShoUDcMKiUII3LOLVPxW1Zw1a&#10;N7qYjEbHRQO+dh64CAFfrzohnWX7Ugoeb6UMIhJdUYwt5q/P32X6FrNzVj555laK92Gwf4jCMGXR&#10;6c7UFYuMrL36y5RR3EMAGQ84mAKkVFzkHDCb8ehNNvcr5kTOBYsT3K5M4f+Z5TebO09UXdHJeEyJ&#10;ZQab9CDaSL5CS9IbVqhxoUTgvUNobFGAnc7ZBrcA/hwQUuxhOoWA6FSRVnqT/pgrQUVswnZX+OSH&#10;4+PZeDodoYSjaHJ4Mj3LjSlelJ0P8ZsAQ9Khoh77mgNgm0WIyT0rB0jyFUCr+lppnS+JS+JSe7Jh&#10;yAIdc06o8QqlLWkqenx4NMqGLST1zrK2yYzIbOrdpWy7BPMpbrVIGG1/CInVzHm+45txLuzOf0Yn&#10;lERXH1Hs8S9RfUS5ywM1smewcadslAXf9fV1yernoWSyw/f9Dl3eqQSxXbaZRoenA2OWUG+RMB66&#10;oQuOXyvs3oKFeMc8Thk2HDdHvMWP1IDVh/5EyQr87/feEx7Jj1JKGpzaioZfa+YFJfq7xbHIRMIx&#10;z5fp0ckEffh9yXJfYtfmEpASSHyMLh8TPurhKD2YR1ww8+QVRcxy9F3ROBwvY7dLcEFxMZ9nEA62&#10;Y3Fh7x0f5iRx86F9ZN71BI7I/BsY5puVb3jcYVODLMzXEaTKJE+F7qraNwCXQuZ+v8DS1tm/Z9TL&#10;mp39AQAA//8DAFBLAwQUAAYACAAAACEAhepNm98AAAAJAQAADwAAAGRycy9kb3ducmV2LnhtbEyP&#10;MU/DMBCFdyT+g3VILBV1EghqQ5wKISq1QwdCl25ufCQR8Tmy3Tb8e46Jbnf3nt59r1xNdhBn9KF3&#10;pCCdJyCQGmd6ahXsP9cPCxAhajJ6cIQKfjDAqrq9KXVh3IU+8FzHVnAIhUIr6GIcCylD06HVYe5G&#10;JNa+nLc68upbaby+cLgdZJYkz9LqnvhDp0d867D5rk9WwS4cNrOD36xndTByi7h736ZRqfu76fUF&#10;RMQp/pvhD5/RoWKmozuRCWJQ8JQsc7YqyFKuwIY8f+TDkYdlBrIq5XWD6hcAAP//AwBQSwECLQAU&#10;AAYACAAAACEAtoM4kv4AAADhAQAAEwAAAAAAAAAAAAAAAAAAAAAAW0NvbnRlbnRfVHlwZXNdLnht&#10;bFBLAQItABQABgAIAAAAIQA4/SH/1gAAAJQBAAALAAAAAAAAAAAAAAAAAC8BAABfcmVscy8ucmVs&#10;c1BLAQItABQABgAIAAAAIQDC1dlWlgIAAK4FAAAOAAAAAAAAAAAAAAAAAC4CAABkcnMvZTJvRG9j&#10;LnhtbFBLAQItABQABgAIAAAAIQCF6k2b3wAAAAkBAAAPAAAAAAAAAAAAAAAAAPAEAABkcnMvZG93&#10;bnJldi54bWxQSwUGAAAAAAQABADzAAAA/AUAAAAA&#10;" o:allowoverlap="f" fillcolor="white [3201]" stroked="f" strokeweight=".5pt">
                <v:path arrowok="t"/>
                <v:textbox>
                  <w:txbxContent>
                    <w:p w:rsidR="0060782B" w:rsidRDefault="0060782B" w:rsidP="0060782B">
                      <w:pPr>
                        <w:ind w:right="60"/>
                        <w:rPr>
                          <w:rFonts w:asciiTheme="minorHAnsi" w:hAnsiTheme="minorHAnsi"/>
                          <w:sz w:val="20"/>
                          <w:szCs w:val="20"/>
                        </w:rPr>
                      </w:pPr>
                      <w:hyperlink w:anchor="TOC" w:history="1">
                        <w:r>
                          <w:rPr>
                            <w:rStyle w:val="Hyperlink"/>
                            <w:sz w:val="20"/>
                            <w:szCs w:val="20"/>
                          </w:rPr>
                          <w:t>Back to TOC</w:t>
                        </w:r>
                      </w:hyperlink>
                    </w:p>
                  </w:txbxContent>
                </v:textbox>
                <w10:wrap anchorx="margin" anchory="margin"/>
                <w10:anchorlock/>
              </v:shape>
            </w:pict>
          </mc:Fallback>
        </mc:AlternateContent>
      </w:r>
      <w:r w:rsidR="009B2F9B" w:rsidRPr="00A2277A">
        <w:rPr>
          <w:rFonts w:asciiTheme="minorHAnsi" w:hAnsiTheme="minorHAnsi"/>
        </w:rPr>
        <w:t>Note: 50 MMBtu/hr is equivalent to 14.65 MWh; 850 MMBtu/hr is equivalent to 249.11 MWh</w:t>
      </w:r>
    </w:p>
    <w:p w:rsidR="009B2F9B" w:rsidRPr="00A2277A" w:rsidRDefault="0025362E" w:rsidP="0025362E">
      <w:pPr>
        <w:pStyle w:val="Heading3"/>
      </w:pPr>
      <w:bookmarkStart w:id="290" w:name="_Toc461020989"/>
      <w:bookmarkStart w:id="291" w:name="_Toc461025654"/>
      <w:bookmarkStart w:id="292" w:name="_Toc461025863"/>
      <w:bookmarkStart w:id="293" w:name="_Toc461027133"/>
      <w:r>
        <w:lastRenderedPageBreak/>
        <w:t>3</w:t>
      </w:r>
      <w:r w:rsidR="009B2F9B">
        <w:t>.3.2</w:t>
      </w:r>
      <w:r w:rsidR="009B2F9B">
        <w:tab/>
      </w:r>
      <w:r>
        <w:tab/>
      </w:r>
      <w:r w:rsidR="009B2F9B" w:rsidRPr="00A2277A">
        <w:t>The OTC Measure</w:t>
      </w:r>
      <w:bookmarkEnd w:id="290"/>
      <w:bookmarkEnd w:id="291"/>
      <w:bookmarkEnd w:id="292"/>
      <w:bookmarkEnd w:id="293"/>
    </w:p>
    <w:p w:rsidR="009B2F9B" w:rsidRPr="00A2277A" w:rsidRDefault="0025362E" w:rsidP="0025362E">
      <w:pPr>
        <w:pStyle w:val="Heading4"/>
        <w:ind w:left="900"/>
      </w:pPr>
      <w:bookmarkStart w:id="294" w:name="_Toc461020990"/>
      <w:bookmarkStart w:id="295" w:name="_Toc461025655"/>
      <w:bookmarkStart w:id="296" w:name="_Toc461027134"/>
      <w:r>
        <w:t>3</w:t>
      </w:r>
      <w:r w:rsidR="009B2F9B" w:rsidRPr="00A2277A">
        <w:t>.3.2.1</w:t>
      </w:r>
      <w:r w:rsidR="009B2F9B" w:rsidRPr="00A2277A">
        <w:tab/>
        <w:t>Performance Standards</w:t>
      </w:r>
      <w:bookmarkEnd w:id="294"/>
      <w:bookmarkEnd w:id="295"/>
      <w:bookmarkEnd w:id="296"/>
    </w:p>
    <w:p w:rsidR="009B2F9B" w:rsidRPr="009C005A" w:rsidRDefault="009B2F9B" w:rsidP="0081054E">
      <w:pPr>
        <w:pStyle w:val="NoSpacing"/>
        <w:ind w:left="900"/>
        <w:jc w:val="both"/>
        <w:rPr>
          <w:rFonts w:asciiTheme="minorHAnsi" w:hAnsiTheme="minorHAnsi"/>
        </w:rPr>
      </w:pPr>
      <w:r w:rsidRPr="00A2277A">
        <w:rPr>
          <w:rFonts w:asciiTheme="minorHAnsi" w:hAnsiTheme="minorHAnsi"/>
        </w:rPr>
        <w:t xml:space="preserve">The model rule requires </w:t>
      </w:r>
      <w:r w:rsidRPr="009C005A">
        <w:rPr>
          <w:rFonts w:asciiTheme="minorHAnsi" w:hAnsiTheme="minorHAnsi"/>
        </w:rPr>
        <w:t>HEDDCTs to meet the NO</w:t>
      </w:r>
      <w:r w:rsidRPr="009C005A">
        <w:rPr>
          <w:rFonts w:asciiTheme="minorHAnsi" w:hAnsiTheme="minorHAnsi"/>
          <w:vertAlign w:val="subscript"/>
        </w:rPr>
        <w:t>x</w:t>
      </w:r>
      <w:r w:rsidRPr="009C005A">
        <w:rPr>
          <w:rFonts w:asciiTheme="minorHAnsi" w:hAnsiTheme="minorHAnsi"/>
        </w:rPr>
        <w:t xml:space="preserve"> performance standards </w:t>
      </w:r>
      <w:r w:rsidRPr="009C005A">
        <w:rPr>
          <w:rFonts w:asciiTheme="minorHAnsi" w:hAnsiTheme="minorHAnsi"/>
          <w:snapToGrid w:val="0"/>
        </w:rPr>
        <w:t xml:space="preserve">in </w:t>
      </w:r>
      <w:r w:rsidR="006633FD">
        <w:rPr>
          <w:rFonts w:asciiTheme="minorHAnsi" w:hAnsiTheme="minorHAnsi"/>
          <w:bCs/>
          <w:snapToGrid w:val="0"/>
        </w:rPr>
        <w:t>Table 3-8</w:t>
      </w:r>
      <w:r w:rsidRPr="009C005A">
        <w:rPr>
          <w:rFonts w:asciiTheme="minorHAnsi" w:hAnsiTheme="minorHAnsi"/>
          <w:snapToGrid w:val="0"/>
        </w:rPr>
        <w:t xml:space="preserve">.  </w:t>
      </w:r>
    </w:p>
    <w:p w:rsidR="00462C12" w:rsidRPr="00462C12" w:rsidRDefault="002E3B98" w:rsidP="00462C12">
      <w:pPr>
        <w:pStyle w:val="Caption"/>
        <w:keepNext/>
        <w:spacing w:before="120"/>
        <w:rPr>
          <w:rStyle w:val="NoSpacingChar"/>
          <w:rFonts w:asciiTheme="minorHAnsi" w:hAnsiTheme="minorHAnsi"/>
          <w:b w:val="0"/>
          <w:bCs w:val="0"/>
          <w:sz w:val="22"/>
          <w:szCs w:val="22"/>
        </w:rPr>
      </w:pPr>
      <w:bookmarkStart w:id="297" w:name="_Toc461106809"/>
      <w:r w:rsidRPr="00462C12">
        <w:rPr>
          <w:rFonts w:asciiTheme="minorHAnsi" w:hAnsiTheme="minorHAnsi"/>
          <w:sz w:val="22"/>
          <w:szCs w:val="22"/>
        </w:rPr>
        <w:t>Table 3-8</w:t>
      </w:r>
      <w:r w:rsidR="00FD75BF">
        <w:rPr>
          <w:rFonts w:asciiTheme="minorHAnsi" w:hAnsiTheme="minorHAnsi"/>
          <w:sz w:val="22"/>
          <w:szCs w:val="22"/>
        </w:rPr>
        <w:tab/>
      </w:r>
      <w:r w:rsidR="00462C12" w:rsidRPr="00462C12">
        <w:rPr>
          <w:rStyle w:val="NoSpacingChar"/>
          <w:rFonts w:asciiTheme="minorHAnsi" w:hAnsiTheme="minorHAnsi"/>
          <w:sz w:val="22"/>
          <w:szCs w:val="22"/>
        </w:rPr>
        <w:t>Performance Standards for HEDDCT</w:t>
      </w:r>
      <w:bookmarkEnd w:id="297"/>
    </w:p>
    <w:p w:rsidR="00462C12" w:rsidRPr="00462C12" w:rsidRDefault="00462C12" w:rsidP="00462C12">
      <w:pPr>
        <w:spacing w:after="120" w:line="240" w:lineRule="auto"/>
        <w:jc w:val="center"/>
      </w:pPr>
      <w:r w:rsidRPr="009C005A">
        <w:rPr>
          <w:rStyle w:val="NoSpacingChar"/>
          <w:rFonts w:asciiTheme="minorHAnsi" w:hAnsiTheme="minorHAnsi"/>
        </w:rPr>
        <w:t>(Effective May 1, 2015)</w:t>
      </w:r>
    </w:p>
    <w:tbl>
      <w:tblPr>
        <w:tblW w:w="91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653"/>
        <w:gridCol w:w="1848"/>
        <w:gridCol w:w="1116"/>
        <w:gridCol w:w="1238"/>
        <w:gridCol w:w="1325"/>
        <w:gridCol w:w="1957"/>
      </w:tblGrid>
      <w:tr w:rsidR="009B2F9B" w:rsidRPr="00EF5EA2" w:rsidTr="002E3B98">
        <w:trPr>
          <w:trHeight w:val="338"/>
          <w:tblHeader/>
          <w:jc w:val="center"/>
        </w:trPr>
        <w:tc>
          <w:tcPr>
            <w:tcW w:w="1653" w:type="dxa"/>
            <w:vMerge w:val="restart"/>
            <w:vAlign w:val="center"/>
          </w:tcPr>
          <w:p w:rsidR="009B2F9B" w:rsidRPr="00EF5EA2" w:rsidRDefault="009B2F9B" w:rsidP="0081054E">
            <w:pPr>
              <w:pStyle w:val="BodyText2"/>
              <w:keepNext/>
              <w:keepLines/>
              <w:spacing w:after="0" w:line="240" w:lineRule="auto"/>
              <w:rPr>
                <w:rStyle w:val="NoSpacingChar"/>
                <w:rFonts w:asciiTheme="minorHAnsi" w:hAnsiTheme="minorHAnsi"/>
                <w:u w:val="single"/>
              </w:rPr>
            </w:pPr>
            <w:r w:rsidRPr="00EF5EA2">
              <w:rPr>
                <w:rStyle w:val="NoSpacingChar"/>
                <w:rFonts w:asciiTheme="minorHAnsi" w:hAnsiTheme="minorHAnsi"/>
                <w:u w:val="single"/>
              </w:rPr>
              <w:t>Type of Turbine</w:t>
            </w:r>
          </w:p>
        </w:tc>
        <w:tc>
          <w:tcPr>
            <w:tcW w:w="1848" w:type="dxa"/>
            <w:vMerge w:val="restart"/>
            <w:vAlign w:val="center"/>
          </w:tcPr>
          <w:p w:rsidR="009B2F9B" w:rsidRPr="00EF5EA2" w:rsidRDefault="009B2F9B" w:rsidP="0081054E">
            <w:pPr>
              <w:pStyle w:val="BodyText2"/>
              <w:keepNext/>
              <w:keepLines/>
              <w:spacing w:after="0" w:line="240" w:lineRule="auto"/>
              <w:rPr>
                <w:rStyle w:val="NoSpacingChar"/>
                <w:rFonts w:asciiTheme="minorHAnsi" w:hAnsiTheme="minorHAnsi"/>
                <w:u w:val="single"/>
              </w:rPr>
            </w:pPr>
            <w:r w:rsidRPr="00EF5EA2">
              <w:rPr>
                <w:rStyle w:val="NoSpacingChar"/>
                <w:rFonts w:asciiTheme="minorHAnsi" w:hAnsiTheme="minorHAnsi"/>
                <w:u w:val="single"/>
              </w:rPr>
              <w:t>Type of Fuel</w:t>
            </w:r>
            <w:r w:rsidRPr="00EF5EA2">
              <w:rPr>
                <w:rStyle w:val="NoSpacingChar"/>
                <w:rFonts w:asciiTheme="minorHAnsi" w:hAnsiTheme="minorHAnsi"/>
                <w:u w:val="single"/>
                <w:vertAlign w:val="superscript"/>
              </w:rPr>
              <w:t>4</w:t>
            </w:r>
          </w:p>
        </w:tc>
        <w:tc>
          <w:tcPr>
            <w:tcW w:w="3679" w:type="dxa"/>
            <w:gridSpan w:val="3"/>
          </w:tcPr>
          <w:p w:rsidR="009B2F9B" w:rsidRPr="00EF5EA2" w:rsidRDefault="009B2F9B" w:rsidP="0081054E">
            <w:pPr>
              <w:pStyle w:val="BodyText2"/>
              <w:keepNext/>
              <w:keepLines/>
              <w:tabs>
                <w:tab w:val="center" w:pos="1022"/>
              </w:tabs>
              <w:spacing w:after="0" w:line="240" w:lineRule="auto"/>
              <w:rPr>
                <w:rStyle w:val="NoSpacingChar"/>
                <w:rFonts w:asciiTheme="minorHAnsi" w:hAnsiTheme="minorHAnsi"/>
                <w:u w:val="single"/>
              </w:rPr>
            </w:pPr>
            <w:r w:rsidRPr="00EF5EA2">
              <w:rPr>
                <w:rStyle w:val="NoSpacingChar"/>
                <w:rFonts w:asciiTheme="minorHAnsi" w:hAnsiTheme="minorHAnsi"/>
                <w:u w:val="single"/>
              </w:rPr>
              <w:t>NO</w:t>
            </w:r>
            <w:r w:rsidRPr="00EF5EA2">
              <w:rPr>
                <w:rStyle w:val="NoSpacingChar"/>
                <w:rFonts w:asciiTheme="minorHAnsi" w:hAnsiTheme="minorHAnsi"/>
                <w:u w:val="single"/>
                <w:vertAlign w:val="subscript"/>
              </w:rPr>
              <w:t>x</w:t>
            </w:r>
            <w:r w:rsidRPr="00EF5EA2">
              <w:rPr>
                <w:rStyle w:val="NoSpacingChar"/>
                <w:rFonts w:asciiTheme="minorHAnsi" w:hAnsiTheme="minorHAnsi"/>
                <w:u w:val="single"/>
              </w:rPr>
              <w:t xml:space="preserve"> Emission Rate</w:t>
            </w:r>
            <w:r w:rsidRPr="00EF5EA2">
              <w:rPr>
                <w:rStyle w:val="NoSpacingChar"/>
                <w:rFonts w:asciiTheme="minorHAnsi" w:hAnsiTheme="minorHAnsi"/>
                <w:u w:val="single"/>
                <w:vertAlign w:val="superscript"/>
              </w:rPr>
              <w:t>1</w:t>
            </w:r>
          </w:p>
        </w:tc>
        <w:tc>
          <w:tcPr>
            <w:tcW w:w="1957" w:type="dxa"/>
            <w:vMerge w:val="restart"/>
            <w:vAlign w:val="center"/>
          </w:tcPr>
          <w:p w:rsidR="009B2F9B" w:rsidRPr="00EF5EA2" w:rsidRDefault="009B2F9B" w:rsidP="0081054E">
            <w:pPr>
              <w:pStyle w:val="BodyText2"/>
              <w:keepNext/>
              <w:keepLines/>
              <w:tabs>
                <w:tab w:val="center" w:pos="1022"/>
              </w:tabs>
              <w:spacing w:after="0" w:line="240" w:lineRule="auto"/>
              <w:rPr>
                <w:rStyle w:val="NoSpacingChar"/>
                <w:rFonts w:asciiTheme="minorHAnsi" w:hAnsiTheme="minorHAnsi"/>
                <w:u w:val="single"/>
                <w:vertAlign w:val="superscript"/>
              </w:rPr>
            </w:pPr>
            <w:r w:rsidRPr="00EF5EA2">
              <w:rPr>
                <w:rStyle w:val="NoSpacingChar"/>
                <w:rFonts w:asciiTheme="minorHAnsi" w:hAnsiTheme="minorHAnsi"/>
                <w:u w:val="single"/>
              </w:rPr>
              <w:t>Compliance Period</w:t>
            </w:r>
            <w:r w:rsidRPr="00EF5EA2">
              <w:rPr>
                <w:rStyle w:val="NoSpacingChar"/>
                <w:rFonts w:asciiTheme="minorHAnsi" w:hAnsiTheme="minorHAnsi"/>
                <w:u w:val="single"/>
                <w:vertAlign w:val="superscript"/>
              </w:rPr>
              <w:t>3</w:t>
            </w:r>
          </w:p>
        </w:tc>
      </w:tr>
      <w:tr w:rsidR="009B2F9B" w:rsidRPr="00EF5EA2" w:rsidTr="002E3B98">
        <w:trPr>
          <w:trHeight w:val="557"/>
          <w:tblHeader/>
          <w:jc w:val="center"/>
        </w:trPr>
        <w:tc>
          <w:tcPr>
            <w:tcW w:w="1653" w:type="dxa"/>
            <w:vMerge/>
          </w:tcPr>
          <w:p w:rsidR="009B2F9B" w:rsidRPr="00EF5EA2" w:rsidRDefault="009B2F9B" w:rsidP="0081054E">
            <w:pPr>
              <w:pStyle w:val="BodyText2"/>
              <w:keepNext/>
              <w:keepLines/>
              <w:spacing w:after="0" w:line="240" w:lineRule="auto"/>
              <w:rPr>
                <w:rStyle w:val="NoSpacingChar"/>
                <w:rFonts w:asciiTheme="minorHAnsi" w:hAnsiTheme="minorHAnsi"/>
              </w:rPr>
            </w:pPr>
          </w:p>
        </w:tc>
        <w:tc>
          <w:tcPr>
            <w:tcW w:w="1848" w:type="dxa"/>
            <w:vMerge/>
          </w:tcPr>
          <w:p w:rsidR="009B2F9B" w:rsidRPr="00EF5EA2" w:rsidRDefault="009B2F9B" w:rsidP="0081054E">
            <w:pPr>
              <w:pStyle w:val="BodyText2"/>
              <w:keepNext/>
              <w:keepLines/>
              <w:spacing w:after="0" w:line="240" w:lineRule="auto"/>
              <w:rPr>
                <w:rStyle w:val="NoSpacingChar"/>
                <w:rFonts w:asciiTheme="minorHAnsi" w:hAnsiTheme="minorHAnsi"/>
              </w:rPr>
            </w:pPr>
          </w:p>
        </w:tc>
        <w:tc>
          <w:tcPr>
            <w:tcW w:w="1116" w:type="dxa"/>
          </w:tcPr>
          <w:p w:rsidR="009B2F9B" w:rsidRPr="00EF5EA2" w:rsidRDefault="009B2F9B" w:rsidP="0081054E">
            <w:pPr>
              <w:pStyle w:val="BodyText2"/>
              <w:keepNext/>
              <w:keepLines/>
              <w:spacing w:after="0" w:line="240" w:lineRule="auto"/>
              <w:rPr>
                <w:rStyle w:val="NoSpacingChar"/>
                <w:rFonts w:asciiTheme="minorHAnsi" w:hAnsiTheme="minorHAnsi"/>
              </w:rPr>
            </w:pPr>
            <w:r w:rsidRPr="00EF5EA2">
              <w:rPr>
                <w:rStyle w:val="NoSpacingChar"/>
                <w:rFonts w:asciiTheme="minorHAnsi" w:hAnsiTheme="minorHAnsi"/>
              </w:rPr>
              <w:t>lb/MWh</w:t>
            </w:r>
            <w:r w:rsidRPr="00EF5EA2">
              <w:rPr>
                <w:rStyle w:val="NoSpacingChar"/>
                <w:rFonts w:asciiTheme="minorHAnsi" w:hAnsiTheme="minorHAnsi"/>
                <w:vertAlign w:val="superscript"/>
              </w:rPr>
              <w:t>2</w:t>
            </w:r>
          </w:p>
        </w:tc>
        <w:tc>
          <w:tcPr>
            <w:tcW w:w="1238" w:type="dxa"/>
            <w:tcBorders>
              <w:right w:val="single" w:sz="4" w:space="0" w:color="auto"/>
            </w:tcBorders>
          </w:tcPr>
          <w:p w:rsidR="009B2F9B" w:rsidRPr="00EF5EA2" w:rsidRDefault="009B2F9B" w:rsidP="0081054E">
            <w:pPr>
              <w:pStyle w:val="BodyText2"/>
              <w:keepNext/>
              <w:keepLines/>
              <w:spacing w:after="0" w:line="240" w:lineRule="auto"/>
              <w:rPr>
                <w:rStyle w:val="NoSpacingChar"/>
                <w:rFonts w:asciiTheme="minorHAnsi" w:hAnsiTheme="minorHAnsi"/>
              </w:rPr>
            </w:pPr>
            <w:r w:rsidRPr="00EF5EA2">
              <w:rPr>
                <w:rStyle w:val="NoSpacingChar"/>
                <w:rFonts w:asciiTheme="minorHAnsi" w:hAnsiTheme="minorHAnsi"/>
              </w:rPr>
              <w:t>lb/MMBtu</w:t>
            </w:r>
          </w:p>
        </w:tc>
        <w:tc>
          <w:tcPr>
            <w:tcW w:w="1325" w:type="dxa"/>
            <w:tcBorders>
              <w:left w:val="single" w:sz="4" w:space="0" w:color="auto"/>
            </w:tcBorders>
          </w:tcPr>
          <w:p w:rsidR="009B2F9B" w:rsidRPr="00EF5EA2" w:rsidRDefault="009B2F9B" w:rsidP="0081054E">
            <w:pPr>
              <w:pStyle w:val="BodyText2"/>
              <w:keepNext/>
              <w:keepLines/>
              <w:spacing w:after="0" w:line="240" w:lineRule="auto"/>
              <w:rPr>
                <w:rStyle w:val="NoSpacingChar"/>
                <w:rFonts w:asciiTheme="minorHAnsi" w:hAnsiTheme="minorHAnsi"/>
              </w:rPr>
            </w:pPr>
            <w:r w:rsidRPr="00EF5EA2">
              <w:rPr>
                <w:rStyle w:val="NoSpacingChar"/>
                <w:rFonts w:asciiTheme="minorHAnsi" w:hAnsiTheme="minorHAnsi"/>
              </w:rPr>
              <w:t>ppm @15% O</w:t>
            </w:r>
            <w:r w:rsidRPr="00EF5EA2">
              <w:rPr>
                <w:rStyle w:val="NoSpacingChar"/>
                <w:rFonts w:asciiTheme="minorHAnsi" w:hAnsiTheme="minorHAnsi"/>
                <w:vertAlign w:val="subscript"/>
              </w:rPr>
              <w:t>2</w:t>
            </w:r>
          </w:p>
        </w:tc>
        <w:tc>
          <w:tcPr>
            <w:tcW w:w="1957" w:type="dxa"/>
            <w:vMerge/>
          </w:tcPr>
          <w:p w:rsidR="009B2F9B" w:rsidRPr="00EF5EA2" w:rsidRDefault="009B2F9B" w:rsidP="0081054E">
            <w:pPr>
              <w:pStyle w:val="BodyText2"/>
              <w:keepNext/>
              <w:keepLines/>
              <w:spacing w:after="0" w:line="240" w:lineRule="auto"/>
              <w:rPr>
                <w:rStyle w:val="NoSpacingChar"/>
                <w:rFonts w:asciiTheme="minorHAnsi" w:hAnsiTheme="minorHAnsi"/>
              </w:rPr>
            </w:pPr>
          </w:p>
        </w:tc>
      </w:tr>
      <w:tr w:rsidR="009B2F9B" w:rsidRPr="00EF5EA2" w:rsidTr="002E3B98">
        <w:trPr>
          <w:trHeight w:val="338"/>
          <w:jc w:val="center"/>
        </w:trPr>
        <w:tc>
          <w:tcPr>
            <w:tcW w:w="1653" w:type="dxa"/>
            <w:vMerge w:val="restart"/>
          </w:tcPr>
          <w:p w:rsidR="009B2F9B" w:rsidRPr="00EF5EA2" w:rsidRDefault="009B2F9B" w:rsidP="0081054E">
            <w:pPr>
              <w:pStyle w:val="BodyText2"/>
              <w:keepNext/>
              <w:keepLines/>
              <w:spacing w:after="0" w:line="240" w:lineRule="auto"/>
              <w:rPr>
                <w:rStyle w:val="NoSpacingChar"/>
                <w:rFonts w:asciiTheme="minorHAnsi" w:hAnsiTheme="minorHAnsi"/>
              </w:rPr>
            </w:pPr>
            <w:r w:rsidRPr="00EF5EA2">
              <w:rPr>
                <w:rStyle w:val="NoSpacingChar"/>
                <w:rFonts w:asciiTheme="minorHAnsi" w:hAnsiTheme="minorHAnsi"/>
              </w:rPr>
              <w:t>Combined Cycle or Regenerative Cycle</w:t>
            </w:r>
          </w:p>
        </w:tc>
        <w:tc>
          <w:tcPr>
            <w:tcW w:w="1848" w:type="dxa"/>
          </w:tcPr>
          <w:p w:rsidR="009B2F9B" w:rsidRPr="00EF5EA2" w:rsidRDefault="009B2F9B" w:rsidP="0081054E">
            <w:pPr>
              <w:pStyle w:val="BodyText2"/>
              <w:keepNext/>
              <w:keepLines/>
              <w:spacing w:after="0" w:line="240" w:lineRule="auto"/>
              <w:rPr>
                <w:rStyle w:val="NoSpacingChar"/>
                <w:rFonts w:asciiTheme="minorHAnsi" w:hAnsiTheme="minorHAnsi"/>
              </w:rPr>
            </w:pPr>
            <w:r w:rsidRPr="00EF5EA2">
              <w:rPr>
                <w:rStyle w:val="NoSpacingChar"/>
                <w:rFonts w:asciiTheme="minorHAnsi" w:hAnsiTheme="minorHAnsi"/>
              </w:rPr>
              <w:t>Natural Gas</w:t>
            </w:r>
          </w:p>
        </w:tc>
        <w:tc>
          <w:tcPr>
            <w:tcW w:w="1116" w:type="dxa"/>
          </w:tcPr>
          <w:p w:rsidR="009B2F9B" w:rsidRPr="00EF5EA2" w:rsidRDefault="009B2F9B" w:rsidP="0081054E">
            <w:pPr>
              <w:pStyle w:val="BodyText2"/>
              <w:keepNext/>
              <w:keepLines/>
              <w:spacing w:after="0" w:line="240" w:lineRule="auto"/>
              <w:rPr>
                <w:rStyle w:val="NoSpacingChar"/>
                <w:rFonts w:asciiTheme="minorHAnsi" w:hAnsiTheme="minorHAnsi"/>
              </w:rPr>
            </w:pPr>
            <w:r w:rsidRPr="00EF5EA2">
              <w:rPr>
                <w:rStyle w:val="NoSpacingChar"/>
                <w:rFonts w:asciiTheme="minorHAnsi" w:hAnsiTheme="minorHAnsi"/>
              </w:rPr>
              <w:t>0.75</w:t>
            </w:r>
          </w:p>
        </w:tc>
        <w:tc>
          <w:tcPr>
            <w:tcW w:w="1238" w:type="dxa"/>
            <w:tcBorders>
              <w:right w:val="single" w:sz="4" w:space="0" w:color="auto"/>
            </w:tcBorders>
          </w:tcPr>
          <w:p w:rsidR="009B2F9B" w:rsidRPr="00EF5EA2" w:rsidRDefault="009B2F9B" w:rsidP="0081054E">
            <w:pPr>
              <w:pStyle w:val="BodyText2"/>
              <w:keepNext/>
              <w:keepLines/>
              <w:spacing w:after="0" w:line="240" w:lineRule="auto"/>
              <w:rPr>
                <w:rStyle w:val="NoSpacingChar"/>
                <w:rFonts w:asciiTheme="minorHAnsi" w:hAnsiTheme="minorHAnsi"/>
              </w:rPr>
            </w:pPr>
            <w:r w:rsidRPr="00EF5EA2">
              <w:rPr>
                <w:rStyle w:val="NoSpacingChar"/>
                <w:rFonts w:asciiTheme="minorHAnsi" w:hAnsiTheme="minorHAnsi"/>
              </w:rPr>
              <w:t>0.10</w:t>
            </w:r>
          </w:p>
        </w:tc>
        <w:tc>
          <w:tcPr>
            <w:tcW w:w="1325" w:type="dxa"/>
            <w:tcBorders>
              <w:left w:val="single" w:sz="4" w:space="0" w:color="auto"/>
            </w:tcBorders>
          </w:tcPr>
          <w:p w:rsidR="009B2F9B" w:rsidRPr="00EF5EA2" w:rsidRDefault="009B2F9B" w:rsidP="0081054E">
            <w:pPr>
              <w:pStyle w:val="BodyText2"/>
              <w:keepNext/>
              <w:keepLines/>
              <w:spacing w:after="0" w:line="240" w:lineRule="auto"/>
              <w:rPr>
                <w:rStyle w:val="NoSpacingChar"/>
                <w:rFonts w:asciiTheme="minorHAnsi" w:hAnsiTheme="minorHAnsi"/>
              </w:rPr>
            </w:pPr>
            <w:r w:rsidRPr="00EF5EA2">
              <w:rPr>
                <w:rStyle w:val="NoSpacingChar"/>
                <w:rFonts w:asciiTheme="minorHAnsi" w:hAnsiTheme="minorHAnsi"/>
              </w:rPr>
              <w:t>25</w:t>
            </w:r>
          </w:p>
        </w:tc>
        <w:tc>
          <w:tcPr>
            <w:tcW w:w="1957" w:type="dxa"/>
          </w:tcPr>
          <w:p w:rsidR="009B2F9B" w:rsidRPr="00EF5EA2" w:rsidRDefault="009B2F9B" w:rsidP="0081054E">
            <w:pPr>
              <w:pStyle w:val="BodyText2"/>
              <w:keepNext/>
              <w:keepLines/>
              <w:spacing w:after="0" w:line="240" w:lineRule="auto"/>
              <w:rPr>
                <w:rStyle w:val="NoSpacingChar"/>
                <w:rFonts w:asciiTheme="minorHAnsi" w:hAnsiTheme="minorHAnsi"/>
              </w:rPr>
            </w:pPr>
            <w:r w:rsidRPr="00EF5EA2">
              <w:rPr>
                <w:rStyle w:val="NoSpacingChar"/>
                <w:rFonts w:asciiTheme="minorHAnsi" w:hAnsiTheme="minorHAnsi"/>
              </w:rPr>
              <w:t>24-hour average</w:t>
            </w:r>
          </w:p>
        </w:tc>
      </w:tr>
      <w:tr w:rsidR="009B2F9B" w:rsidRPr="00EF5EA2" w:rsidTr="002E3B98">
        <w:trPr>
          <w:trHeight w:val="141"/>
          <w:jc w:val="center"/>
        </w:trPr>
        <w:tc>
          <w:tcPr>
            <w:tcW w:w="1653" w:type="dxa"/>
            <w:vMerge/>
          </w:tcPr>
          <w:p w:rsidR="009B2F9B" w:rsidRPr="00EF5EA2" w:rsidRDefault="009B2F9B" w:rsidP="0081054E">
            <w:pPr>
              <w:pStyle w:val="BodyText2"/>
              <w:keepNext/>
              <w:keepLines/>
              <w:spacing w:after="0" w:line="240" w:lineRule="auto"/>
              <w:rPr>
                <w:rStyle w:val="NoSpacingChar"/>
                <w:rFonts w:asciiTheme="minorHAnsi" w:hAnsiTheme="minorHAnsi"/>
              </w:rPr>
            </w:pPr>
          </w:p>
        </w:tc>
        <w:tc>
          <w:tcPr>
            <w:tcW w:w="1848" w:type="dxa"/>
          </w:tcPr>
          <w:p w:rsidR="009B2F9B" w:rsidRPr="00EF5EA2" w:rsidRDefault="009B2F9B" w:rsidP="0081054E">
            <w:pPr>
              <w:pStyle w:val="BodyText2"/>
              <w:keepNext/>
              <w:keepLines/>
              <w:spacing w:after="0" w:line="240" w:lineRule="auto"/>
              <w:rPr>
                <w:rStyle w:val="NoSpacingChar"/>
                <w:rFonts w:asciiTheme="minorHAnsi" w:hAnsiTheme="minorHAnsi"/>
              </w:rPr>
            </w:pPr>
            <w:r w:rsidRPr="00EF5EA2">
              <w:rPr>
                <w:rStyle w:val="NoSpacingChar"/>
                <w:rFonts w:asciiTheme="minorHAnsi" w:hAnsiTheme="minorHAnsi"/>
              </w:rPr>
              <w:t>Distillate Fuel Oil</w:t>
            </w:r>
          </w:p>
        </w:tc>
        <w:tc>
          <w:tcPr>
            <w:tcW w:w="1116" w:type="dxa"/>
          </w:tcPr>
          <w:p w:rsidR="009B2F9B" w:rsidRPr="00EF5EA2" w:rsidRDefault="009B2F9B" w:rsidP="0081054E">
            <w:pPr>
              <w:pStyle w:val="BodyText2"/>
              <w:keepNext/>
              <w:keepLines/>
              <w:spacing w:after="0" w:line="240" w:lineRule="auto"/>
              <w:rPr>
                <w:rStyle w:val="NoSpacingChar"/>
                <w:rFonts w:asciiTheme="minorHAnsi" w:hAnsiTheme="minorHAnsi"/>
              </w:rPr>
            </w:pPr>
            <w:r w:rsidRPr="00EF5EA2">
              <w:rPr>
                <w:rStyle w:val="NoSpacingChar"/>
                <w:rFonts w:asciiTheme="minorHAnsi" w:hAnsiTheme="minorHAnsi"/>
              </w:rPr>
              <w:t>1.20</w:t>
            </w:r>
          </w:p>
        </w:tc>
        <w:tc>
          <w:tcPr>
            <w:tcW w:w="1238" w:type="dxa"/>
            <w:tcBorders>
              <w:right w:val="single" w:sz="4" w:space="0" w:color="auto"/>
            </w:tcBorders>
          </w:tcPr>
          <w:p w:rsidR="009B2F9B" w:rsidRPr="00EF5EA2" w:rsidRDefault="009B2F9B" w:rsidP="0081054E">
            <w:pPr>
              <w:pStyle w:val="BodyText2"/>
              <w:keepNext/>
              <w:keepLines/>
              <w:spacing w:after="0" w:line="240" w:lineRule="auto"/>
              <w:rPr>
                <w:rStyle w:val="NoSpacingChar"/>
                <w:rFonts w:asciiTheme="minorHAnsi" w:hAnsiTheme="minorHAnsi"/>
              </w:rPr>
            </w:pPr>
            <w:r w:rsidRPr="00EF5EA2">
              <w:rPr>
                <w:rStyle w:val="NoSpacingChar"/>
                <w:rFonts w:asciiTheme="minorHAnsi" w:hAnsiTheme="minorHAnsi"/>
              </w:rPr>
              <w:t>0.16</w:t>
            </w:r>
          </w:p>
        </w:tc>
        <w:tc>
          <w:tcPr>
            <w:tcW w:w="1325" w:type="dxa"/>
            <w:tcBorders>
              <w:left w:val="single" w:sz="4" w:space="0" w:color="auto"/>
            </w:tcBorders>
          </w:tcPr>
          <w:p w:rsidR="009B2F9B" w:rsidRPr="00EF5EA2" w:rsidRDefault="009B2F9B" w:rsidP="0081054E">
            <w:pPr>
              <w:pStyle w:val="BodyText2"/>
              <w:keepNext/>
              <w:keepLines/>
              <w:spacing w:after="0" w:line="240" w:lineRule="auto"/>
              <w:rPr>
                <w:rStyle w:val="NoSpacingChar"/>
                <w:rFonts w:asciiTheme="minorHAnsi" w:hAnsiTheme="minorHAnsi"/>
              </w:rPr>
            </w:pPr>
            <w:r w:rsidRPr="00EF5EA2">
              <w:rPr>
                <w:rStyle w:val="NoSpacingChar"/>
                <w:rFonts w:asciiTheme="minorHAnsi" w:hAnsiTheme="minorHAnsi"/>
              </w:rPr>
              <w:t>42</w:t>
            </w:r>
          </w:p>
        </w:tc>
        <w:tc>
          <w:tcPr>
            <w:tcW w:w="1957" w:type="dxa"/>
          </w:tcPr>
          <w:p w:rsidR="009B2F9B" w:rsidRPr="00EF5EA2" w:rsidRDefault="009B2F9B" w:rsidP="0081054E">
            <w:pPr>
              <w:pStyle w:val="BodyText2"/>
              <w:keepNext/>
              <w:keepLines/>
              <w:spacing w:after="0" w:line="240" w:lineRule="auto"/>
              <w:rPr>
                <w:rStyle w:val="NoSpacingChar"/>
                <w:rFonts w:asciiTheme="minorHAnsi" w:hAnsiTheme="minorHAnsi"/>
              </w:rPr>
            </w:pPr>
            <w:r w:rsidRPr="00EF5EA2">
              <w:rPr>
                <w:rStyle w:val="NoSpacingChar"/>
                <w:rFonts w:asciiTheme="minorHAnsi" w:hAnsiTheme="minorHAnsi"/>
              </w:rPr>
              <w:t>24-hour average</w:t>
            </w:r>
          </w:p>
        </w:tc>
      </w:tr>
      <w:tr w:rsidR="009B2F9B" w:rsidRPr="00EF5EA2" w:rsidTr="002E3B98">
        <w:trPr>
          <w:trHeight w:val="338"/>
          <w:jc w:val="center"/>
        </w:trPr>
        <w:tc>
          <w:tcPr>
            <w:tcW w:w="1653" w:type="dxa"/>
            <w:vMerge w:val="restart"/>
            <w:vAlign w:val="center"/>
          </w:tcPr>
          <w:p w:rsidR="009B2F9B" w:rsidRPr="00EF5EA2" w:rsidRDefault="009B2F9B" w:rsidP="0081054E">
            <w:pPr>
              <w:pStyle w:val="BodyText2"/>
              <w:keepNext/>
              <w:keepLines/>
              <w:spacing w:after="0" w:line="240" w:lineRule="auto"/>
              <w:rPr>
                <w:rStyle w:val="NoSpacingChar"/>
                <w:rFonts w:asciiTheme="minorHAnsi" w:hAnsiTheme="minorHAnsi"/>
              </w:rPr>
            </w:pPr>
            <w:r w:rsidRPr="00EF5EA2">
              <w:rPr>
                <w:rStyle w:val="NoSpacingChar"/>
                <w:rFonts w:asciiTheme="minorHAnsi" w:hAnsiTheme="minorHAnsi"/>
              </w:rPr>
              <w:t>Simple cycle</w:t>
            </w:r>
          </w:p>
        </w:tc>
        <w:tc>
          <w:tcPr>
            <w:tcW w:w="1848" w:type="dxa"/>
          </w:tcPr>
          <w:p w:rsidR="009B2F9B" w:rsidRPr="00EF5EA2" w:rsidRDefault="009B2F9B" w:rsidP="0081054E">
            <w:pPr>
              <w:pStyle w:val="BodyText2"/>
              <w:keepNext/>
              <w:keepLines/>
              <w:spacing w:after="0" w:line="240" w:lineRule="auto"/>
              <w:rPr>
                <w:rStyle w:val="NoSpacingChar"/>
                <w:rFonts w:asciiTheme="minorHAnsi" w:hAnsiTheme="minorHAnsi"/>
              </w:rPr>
            </w:pPr>
            <w:r w:rsidRPr="00EF5EA2">
              <w:rPr>
                <w:rStyle w:val="NoSpacingChar"/>
                <w:rFonts w:asciiTheme="minorHAnsi" w:hAnsiTheme="minorHAnsi"/>
              </w:rPr>
              <w:t>Natural Gas</w:t>
            </w:r>
          </w:p>
        </w:tc>
        <w:tc>
          <w:tcPr>
            <w:tcW w:w="1116" w:type="dxa"/>
          </w:tcPr>
          <w:p w:rsidR="009B2F9B" w:rsidRPr="00EF5EA2" w:rsidRDefault="009B2F9B" w:rsidP="0081054E">
            <w:pPr>
              <w:pStyle w:val="BodyText2"/>
              <w:keepNext/>
              <w:keepLines/>
              <w:spacing w:after="0" w:line="240" w:lineRule="auto"/>
              <w:rPr>
                <w:rStyle w:val="NoSpacingChar"/>
                <w:rFonts w:asciiTheme="minorHAnsi" w:hAnsiTheme="minorHAnsi"/>
              </w:rPr>
            </w:pPr>
            <w:r w:rsidRPr="00EF5EA2">
              <w:rPr>
                <w:rStyle w:val="NoSpacingChar"/>
                <w:rFonts w:asciiTheme="minorHAnsi" w:hAnsiTheme="minorHAnsi"/>
              </w:rPr>
              <w:t>1.00</w:t>
            </w:r>
          </w:p>
        </w:tc>
        <w:tc>
          <w:tcPr>
            <w:tcW w:w="1238" w:type="dxa"/>
            <w:tcBorders>
              <w:right w:val="single" w:sz="4" w:space="0" w:color="auto"/>
            </w:tcBorders>
          </w:tcPr>
          <w:p w:rsidR="009B2F9B" w:rsidRPr="00EF5EA2" w:rsidRDefault="009B2F9B" w:rsidP="0081054E">
            <w:pPr>
              <w:pStyle w:val="BodyText2"/>
              <w:keepNext/>
              <w:keepLines/>
              <w:spacing w:after="0" w:line="240" w:lineRule="auto"/>
              <w:rPr>
                <w:rStyle w:val="NoSpacingChar"/>
                <w:rFonts w:asciiTheme="minorHAnsi" w:hAnsiTheme="minorHAnsi"/>
              </w:rPr>
            </w:pPr>
            <w:r w:rsidRPr="00EF5EA2">
              <w:rPr>
                <w:rStyle w:val="NoSpacingChar"/>
                <w:rFonts w:asciiTheme="minorHAnsi" w:hAnsiTheme="minorHAnsi"/>
              </w:rPr>
              <w:t>0.10</w:t>
            </w:r>
          </w:p>
        </w:tc>
        <w:tc>
          <w:tcPr>
            <w:tcW w:w="1325" w:type="dxa"/>
            <w:tcBorders>
              <w:left w:val="single" w:sz="4" w:space="0" w:color="auto"/>
            </w:tcBorders>
          </w:tcPr>
          <w:p w:rsidR="009B2F9B" w:rsidRPr="00EF5EA2" w:rsidRDefault="009B2F9B" w:rsidP="0081054E">
            <w:pPr>
              <w:pStyle w:val="BodyText2"/>
              <w:keepNext/>
              <w:keepLines/>
              <w:spacing w:after="0" w:line="240" w:lineRule="auto"/>
              <w:rPr>
                <w:rStyle w:val="NoSpacingChar"/>
                <w:rFonts w:asciiTheme="minorHAnsi" w:hAnsiTheme="minorHAnsi"/>
              </w:rPr>
            </w:pPr>
            <w:r w:rsidRPr="00EF5EA2">
              <w:rPr>
                <w:rStyle w:val="NoSpacingChar"/>
                <w:rFonts w:asciiTheme="minorHAnsi" w:hAnsiTheme="minorHAnsi"/>
              </w:rPr>
              <w:t>25</w:t>
            </w:r>
          </w:p>
        </w:tc>
        <w:tc>
          <w:tcPr>
            <w:tcW w:w="1957" w:type="dxa"/>
          </w:tcPr>
          <w:p w:rsidR="009B2F9B" w:rsidRPr="00EF5EA2" w:rsidRDefault="009B2F9B" w:rsidP="0081054E">
            <w:pPr>
              <w:pStyle w:val="BodyText2"/>
              <w:keepNext/>
              <w:keepLines/>
              <w:spacing w:after="0" w:line="240" w:lineRule="auto"/>
              <w:rPr>
                <w:rStyle w:val="NoSpacingChar"/>
                <w:rFonts w:asciiTheme="minorHAnsi" w:hAnsiTheme="minorHAnsi"/>
              </w:rPr>
            </w:pPr>
            <w:r w:rsidRPr="00EF5EA2">
              <w:rPr>
                <w:rStyle w:val="NoSpacingChar"/>
                <w:rFonts w:asciiTheme="minorHAnsi" w:hAnsiTheme="minorHAnsi"/>
              </w:rPr>
              <w:t>24-hour average</w:t>
            </w:r>
          </w:p>
        </w:tc>
      </w:tr>
      <w:tr w:rsidR="009B2F9B" w:rsidRPr="00EF5EA2" w:rsidTr="002E3B98">
        <w:trPr>
          <w:trHeight w:val="141"/>
          <w:jc w:val="center"/>
        </w:trPr>
        <w:tc>
          <w:tcPr>
            <w:tcW w:w="1653" w:type="dxa"/>
            <w:vMerge/>
          </w:tcPr>
          <w:p w:rsidR="009B2F9B" w:rsidRPr="00EF5EA2" w:rsidRDefault="009B2F9B" w:rsidP="0081054E">
            <w:pPr>
              <w:pStyle w:val="BodyText2"/>
              <w:keepNext/>
              <w:keepLines/>
              <w:spacing w:after="0" w:line="240" w:lineRule="auto"/>
              <w:rPr>
                <w:rStyle w:val="NoSpacingChar"/>
                <w:rFonts w:asciiTheme="minorHAnsi" w:hAnsiTheme="minorHAnsi"/>
              </w:rPr>
            </w:pPr>
          </w:p>
        </w:tc>
        <w:tc>
          <w:tcPr>
            <w:tcW w:w="1848" w:type="dxa"/>
          </w:tcPr>
          <w:p w:rsidR="009B2F9B" w:rsidRPr="00EF5EA2" w:rsidRDefault="009B2F9B" w:rsidP="0081054E">
            <w:pPr>
              <w:pStyle w:val="BodyText2"/>
              <w:keepNext/>
              <w:keepLines/>
              <w:spacing w:after="0" w:line="240" w:lineRule="auto"/>
              <w:rPr>
                <w:rStyle w:val="NoSpacingChar"/>
                <w:rFonts w:asciiTheme="minorHAnsi" w:hAnsiTheme="minorHAnsi"/>
              </w:rPr>
            </w:pPr>
            <w:r w:rsidRPr="00EF5EA2">
              <w:rPr>
                <w:rStyle w:val="NoSpacingChar"/>
                <w:rFonts w:asciiTheme="minorHAnsi" w:hAnsiTheme="minorHAnsi"/>
              </w:rPr>
              <w:t>Distillate Fuel Oil</w:t>
            </w:r>
          </w:p>
        </w:tc>
        <w:tc>
          <w:tcPr>
            <w:tcW w:w="1116" w:type="dxa"/>
          </w:tcPr>
          <w:p w:rsidR="009B2F9B" w:rsidRPr="00EF5EA2" w:rsidRDefault="009B2F9B" w:rsidP="0081054E">
            <w:pPr>
              <w:pStyle w:val="BodyText2"/>
              <w:keepNext/>
              <w:keepLines/>
              <w:spacing w:after="0" w:line="240" w:lineRule="auto"/>
              <w:rPr>
                <w:rStyle w:val="NoSpacingChar"/>
                <w:rFonts w:asciiTheme="minorHAnsi" w:hAnsiTheme="minorHAnsi"/>
              </w:rPr>
            </w:pPr>
            <w:r w:rsidRPr="00EF5EA2">
              <w:rPr>
                <w:rStyle w:val="NoSpacingChar"/>
                <w:rFonts w:asciiTheme="minorHAnsi" w:hAnsiTheme="minorHAnsi"/>
              </w:rPr>
              <w:t>1.60</w:t>
            </w:r>
          </w:p>
        </w:tc>
        <w:tc>
          <w:tcPr>
            <w:tcW w:w="1238" w:type="dxa"/>
            <w:tcBorders>
              <w:right w:val="single" w:sz="4" w:space="0" w:color="auto"/>
            </w:tcBorders>
          </w:tcPr>
          <w:p w:rsidR="009B2F9B" w:rsidRPr="00EF5EA2" w:rsidRDefault="009B2F9B" w:rsidP="0081054E">
            <w:pPr>
              <w:pStyle w:val="BodyText2"/>
              <w:keepNext/>
              <w:keepLines/>
              <w:spacing w:after="0" w:line="240" w:lineRule="auto"/>
              <w:rPr>
                <w:rStyle w:val="NoSpacingChar"/>
                <w:rFonts w:asciiTheme="minorHAnsi" w:hAnsiTheme="minorHAnsi"/>
              </w:rPr>
            </w:pPr>
            <w:r w:rsidRPr="00EF5EA2">
              <w:rPr>
                <w:rStyle w:val="NoSpacingChar"/>
                <w:rFonts w:asciiTheme="minorHAnsi" w:hAnsiTheme="minorHAnsi"/>
              </w:rPr>
              <w:t>0.16</w:t>
            </w:r>
          </w:p>
        </w:tc>
        <w:tc>
          <w:tcPr>
            <w:tcW w:w="1325" w:type="dxa"/>
            <w:tcBorders>
              <w:left w:val="single" w:sz="4" w:space="0" w:color="auto"/>
            </w:tcBorders>
          </w:tcPr>
          <w:p w:rsidR="009B2F9B" w:rsidRPr="00EF5EA2" w:rsidRDefault="009B2F9B" w:rsidP="0081054E">
            <w:pPr>
              <w:pStyle w:val="BodyText2"/>
              <w:keepNext/>
              <w:keepLines/>
              <w:spacing w:after="0" w:line="240" w:lineRule="auto"/>
              <w:rPr>
                <w:rStyle w:val="NoSpacingChar"/>
                <w:rFonts w:asciiTheme="minorHAnsi" w:hAnsiTheme="minorHAnsi"/>
              </w:rPr>
            </w:pPr>
            <w:r w:rsidRPr="00EF5EA2">
              <w:rPr>
                <w:rStyle w:val="NoSpacingChar"/>
                <w:rFonts w:asciiTheme="minorHAnsi" w:hAnsiTheme="minorHAnsi"/>
              </w:rPr>
              <w:t>42</w:t>
            </w:r>
          </w:p>
        </w:tc>
        <w:tc>
          <w:tcPr>
            <w:tcW w:w="1957" w:type="dxa"/>
          </w:tcPr>
          <w:p w:rsidR="009B2F9B" w:rsidRPr="00EF5EA2" w:rsidRDefault="009B2F9B" w:rsidP="0081054E">
            <w:pPr>
              <w:pStyle w:val="BodyText2"/>
              <w:keepNext/>
              <w:keepLines/>
              <w:spacing w:after="0" w:line="240" w:lineRule="auto"/>
              <w:rPr>
                <w:rStyle w:val="NoSpacingChar"/>
                <w:rFonts w:asciiTheme="minorHAnsi" w:hAnsiTheme="minorHAnsi"/>
              </w:rPr>
            </w:pPr>
            <w:r w:rsidRPr="00EF5EA2">
              <w:rPr>
                <w:rStyle w:val="NoSpacingChar"/>
                <w:rFonts w:asciiTheme="minorHAnsi" w:hAnsiTheme="minorHAnsi"/>
              </w:rPr>
              <w:t>24-hour average</w:t>
            </w:r>
          </w:p>
        </w:tc>
      </w:tr>
    </w:tbl>
    <w:p w:rsidR="009B2F9B" w:rsidRPr="00EF5EA2" w:rsidRDefault="009B2F9B" w:rsidP="0081054E">
      <w:pPr>
        <w:pStyle w:val="NoSpacing"/>
        <w:keepNext/>
        <w:keepLines/>
        <w:rPr>
          <w:rFonts w:asciiTheme="minorHAnsi" w:hAnsiTheme="minorHAnsi"/>
          <w:sz w:val="22"/>
          <w:szCs w:val="22"/>
        </w:rPr>
      </w:pPr>
      <w:r w:rsidRPr="00EF5EA2">
        <w:rPr>
          <w:rFonts w:asciiTheme="minorHAnsi" w:hAnsiTheme="minorHAnsi"/>
          <w:sz w:val="22"/>
          <w:szCs w:val="22"/>
          <w:vertAlign w:val="superscript"/>
        </w:rPr>
        <w:t>1</w:t>
      </w:r>
      <w:r w:rsidRPr="00EF5EA2">
        <w:rPr>
          <w:rFonts w:asciiTheme="minorHAnsi" w:hAnsiTheme="minorHAnsi"/>
          <w:sz w:val="22"/>
          <w:szCs w:val="22"/>
        </w:rPr>
        <w:t xml:space="preserve"> Or as specified in a permit if a more stringent emission limit is imposed by PSD or a more stringent State requirement.</w:t>
      </w:r>
    </w:p>
    <w:p w:rsidR="009B2F9B" w:rsidRPr="00EF5EA2" w:rsidRDefault="009B2F9B" w:rsidP="0081054E">
      <w:pPr>
        <w:pStyle w:val="NoSpacing"/>
        <w:keepNext/>
        <w:keepLines/>
        <w:rPr>
          <w:rStyle w:val="NoSpacingChar"/>
          <w:rFonts w:asciiTheme="minorHAnsi" w:hAnsiTheme="minorHAnsi"/>
          <w:sz w:val="22"/>
          <w:szCs w:val="22"/>
        </w:rPr>
      </w:pPr>
      <w:r w:rsidRPr="00EF5EA2">
        <w:rPr>
          <w:rStyle w:val="NoSpacingChar"/>
          <w:rFonts w:asciiTheme="minorHAnsi" w:hAnsiTheme="minorHAnsi"/>
          <w:sz w:val="22"/>
          <w:szCs w:val="22"/>
          <w:vertAlign w:val="superscript"/>
        </w:rPr>
        <w:t>2</w:t>
      </w:r>
      <w:r w:rsidRPr="00EF5EA2">
        <w:rPr>
          <w:rStyle w:val="NoSpacingChar"/>
          <w:rFonts w:asciiTheme="minorHAnsi" w:hAnsiTheme="minorHAnsi"/>
          <w:sz w:val="22"/>
          <w:szCs w:val="22"/>
        </w:rPr>
        <w:t xml:space="preserve"> lb/MWh emission rates calculated using an efficiency of 35% for simple cycle CTs and 46% for combined cycle CTs [lb/MWh = lb/MMBtu * 3.413 / efficiency]</w:t>
      </w:r>
    </w:p>
    <w:p w:rsidR="009B2F9B" w:rsidRPr="00EF5EA2" w:rsidRDefault="009B2F9B" w:rsidP="0081054E">
      <w:pPr>
        <w:pStyle w:val="NoSpacing"/>
        <w:keepNext/>
        <w:keepLines/>
        <w:rPr>
          <w:rStyle w:val="NoSpacingChar"/>
          <w:rFonts w:asciiTheme="minorHAnsi" w:hAnsiTheme="minorHAnsi"/>
          <w:sz w:val="22"/>
          <w:szCs w:val="22"/>
        </w:rPr>
      </w:pPr>
      <w:r w:rsidRPr="00EF5EA2">
        <w:rPr>
          <w:rStyle w:val="NoSpacingChar"/>
          <w:rFonts w:asciiTheme="minorHAnsi" w:hAnsiTheme="minorHAnsi"/>
          <w:sz w:val="22"/>
          <w:szCs w:val="22"/>
          <w:vertAlign w:val="superscript"/>
        </w:rPr>
        <w:t>3</w:t>
      </w:r>
      <w:r w:rsidRPr="00EF5EA2">
        <w:rPr>
          <w:rStyle w:val="NoSpacingChar"/>
          <w:rFonts w:asciiTheme="minorHAnsi" w:hAnsiTheme="minorHAnsi"/>
          <w:sz w:val="22"/>
          <w:szCs w:val="22"/>
        </w:rPr>
        <w:t xml:space="preserve"> Between May 1 and September 30 </w:t>
      </w:r>
      <w:r w:rsidRPr="00EF5EA2">
        <w:rPr>
          <w:rFonts w:asciiTheme="minorHAnsi" w:hAnsiTheme="minorHAnsi"/>
          <w:sz w:val="22"/>
          <w:szCs w:val="22"/>
        </w:rPr>
        <w:t>over each calendar day &lt;or a 24-hour rolling average&gt;; and from October 1 through April 30 of the following year, over the 30-day period ending on each such day.</w:t>
      </w:r>
    </w:p>
    <w:p w:rsidR="009B2F9B" w:rsidRPr="00EF5EA2" w:rsidRDefault="009B2F9B" w:rsidP="0081054E">
      <w:pPr>
        <w:pStyle w:val="NoSpacing"/>
        <w:keepNext/>
        <w:keepLines/>
        <w:rPr>
          <w:rStyle w:val="NoSpacingChar"/>
          <w:rFonts w:asciiTheme="minorHAnsi" w:hAnsiTheme="minorHAnsi"/>
          <w:sz w:val="22"/>
          <w:szCs w:val="22"/>
        </w:rPr>
      </w:pPr>
      <w:r w:rsidRPr="00EF5EA2">
        <w:rPr>
          <w:rStyle w:val="NoSpacingChar"/>
          <w:rFonts w:asciiTheme="minorHAnsi" w:hAnsiTheme="minorHAnsi"/>
          <w:sz w:val="22"/>
          <w:szCs w:val="22"/>
          <w:vertAlign w:val="superscript"/>
        </w:rPr>
        <w:t>4</w:t>
      </w:r>
      <w:r w:rsidRPr="00EF5EA2">
        <w:rPr>
          <w:rStyle w:val="NoSpacingChar"/>
          <w:rFonts w:asciiTheme="minorHAnsi" w:hAnsiTheme="minorHAnsi"/>
          <w:sz w:val="22"/>
          <w:szCs w:val="22"/>
        </w:rPr>
        <w:t xml:space="preserve"> The above emission limits shall apply to all turbines that combust natural gas or distillate fuel oil by themselves.  For turbines that combust a mixture of natural gas and distillate fuel oil, the applicable emission limit shall be determined by calculating a weighted average of the above emission limits based on the amount (as measured in heat input) of each fuel that is combusted.</w:t>
      </w:r>
    </w:p>
    <w:p w:rsidR="009B2F9B" w:rsidRPr="00A2277A" w:rsidRDefault="009B2F9B" w:rsidP="0081054E">
      <w:pPr>
        <w:pStyle w:val="BodyText2"/>
        <w:spacing w:before="200" w:line="240" w:lineRule="auto"/>
        <w:ind w:left="907"/>
        <w:jc w:val="both"/>
        <w:rPr>
          <w:rFonts w:asciiTheme="minorHAnsi" w:hAnsiTheme="minorHAnsi"/>
        </w:rPr>
      </w:pPr>
      <w:r w:rsidRPr="00EF5EA2">
        <w:rPr>
          <w:rFonts w:asciiTheme="minorHAnsi" w:hAnsiTheme="minorHAnsi"/>
        </w:rPr>
        <w:t>The proposed NO</w:t>
      </w:r>
      <w:r w:rsidRPr="00EF5EA2">
        <w:rPr>
          <w:rFonts w:asciiTheme="minorHAnsi" w:hAnsiTheme="minorHAnsi"/>
          <w:vertAlign w:val="subscript"/>
        </w:rPr>
        <w:t>x</w:t>
      </w:r>
      <w:r w:rsidRPr="00EF5EA2">
        <w:rPr>
          <w:rFonts w:asciiTheme="minorHAnsi" w:hAnsiTheme="minorHAnsi"/>
        </w:rPr>
        <w:t xml:space="preserve"> emission limits in </w:t>
      </w:r>
      <w:r w:rsidR="006633FD">
        <w:rPr>
          <w:rFonts w:asciiTheme="minorHAnsi" w:hAnsiTheme="minorHAnsi"/>
        </w:rPr>
        <w:t>Table 3-7</w:t>
      </w:r>
      <w:r w:rsidRPr="00EF5EA2">
        <w:rPr>
          <w:rFonts w:asciiTheme="minorHAnsi" w:hAnsiTheme="minorHAnsi"/>
        </w:rPr>
        <w:t xml:space="preserve"> would apply to a</w:t>
      </w:r>
      <w:r w:rsidRPr="00EF5EA2">
        <w:rPr>
          <w:rFonts w:asciiTheme="minorHAnsi" w:hAnsiTheme="minorHAnsi"/>
          <w:snapToGrid w:val="0"/>
        </w:rPr>
        <w:t xml:space="preserve">ny </w:t>
      </w:r>
      <w:r w:rsidRPr="00EF5EA2">
        <w:rPr>
          <w:rFonts w:asciiTheme="minorHAnsi" w:hAnsiTheme="minorHAnsi"/>
        </w:rPr>
        <w:t>HEDDCT during all periods of electric generation.  However such turbines could be exempt from these</w:t>
      </w:r>
      <w:r w:rsidRPr="00A2277A">
        <w:rPr>
          <w:rFonts w:asciiTheme="minorHAnsi" w:hAnsiTheme="minorHAnsi"/>
        </w:rPr>
        <w:t xml:space="preserve"> emission limits during the following periods of operation:</w:t>
      </w:r>
    </w:p>
    <w:p w:rsidR="009B2F9B" w:rsidRPr="00A2277A" w:rsidRDefault="009B2F9B" w:rsidP="0081054E">
      <w:pPr>
        <w:numPr>
          <w:ilvl w:val="0"/>
          <w:numId w:val="12"/>
        </w:numPr>
        <w:tabs>
          <w:tab w:val="clear" w:pos="1080"/>
        </w:tabs>
        <w:spacing w:after="0" w:line="240" w:lineRule="auto"/>
        <w:ind w:left="1440"/>
        <w:rPr>
          <w:rFonts w:asciiTheme="minorHAnsi" w:hAnsiTheme="minorHAnsi"/>
        </w:rPr>
      </w:pPr>
      <w:r w:rsidRPr="00A2277A">
        <w:rPr>
          <w:rFonts w:asciiTheme="minorHAnsi" w:hAnsiTheme="minorHAnsi"/>
        </w:rPr>
        <w:t xml:space="preserve">Startup - The period of time beginning when combustion of fuel in the turbine commences and ending when generation of electricity begins.  </w:t>
      </w:r>
    </w:p>
    <w:p w:rsidR="009B2F9B" w:rsidRPr="00A2277A" w:rsidRDefault="009B2F9B" w:rsidP="0081054E">
      <w:pPr>
        <w:numPr>
          <w:ilvl w:val="0"/>
          <w:numId w:val="12"/>
        </w:numPr>
        <w:tabs>
          <w:tab w:val="clear" w:pos="1080"/>
        </w:tabs>
        <w:spacing w:after="0" w:line="240" w:lineRule="auto"/>
        <w:ind w:left="1440"/>
        <w:rPr>
          <w:rFonts w:asciiTheme="minorHAnsi" w:hAnsiTheme="minorHAnsi"/>
          <w:snapToGrid w:val="0"/>
        </w:rPr>
      </w:pPr>
      <w:r w:rsidRPr="00A2277A">
        <w:rPr>
          <w:rFonts w:asciiTheme="minorHAnsi" w:hAnsiTheme="minorHAnsi"/>
        </w:rPr>
        <w:t>Shutdown - The period of time beginning when generation of electricity ceases and ending when combustion of fuel in the turbine ceases.</w:t>
      </w:r>
    </w:p>
    <w:p w:rsidR="009B2F9B" w:rsidRPr="00A2277A" w:rsidRDefault="009B2F9B" w:rsidP="0081054E">
      <w:pPr>
        <w:numPr>
          <w:ilvl w:val="0"/>
          <w:numId w:val="12"/>
        </w:numPr>
        <w:tabs>
          <w:tab w:val="clear" w:pos="1080"/>
        </w:tabs>
        <w:spacing w:after="0" w:line="240" w:lineRule="auto"/>
        <w:ind w:left="1440"/>
        <w:rPr>
          <w:rFonts w:asciiTheme="minorHAnsi" w:hAnsiTheme="minorHAnsi"/>
          <w:snapToGrid w:val="0"/>
        </w:rPr>
      </w:pPr>
      <w:r w:rsidRPr="00A2277A">
        <w:rPr>
          <w:rFonts w:asciiTheme="minorHAnsi" w:hAnsiTheme="minorHAnsi"/>
        </w:rPr>
        <w:t>The duration of startup and shutdown shall not exceed 10 minutes unless the manufacturer of the turbine or control device recommends a longer startup or shutdown period or a longer period is approved in an existing permit.</w:t>
      </w:r>
    </w:p>
    <w:p w:rsidR="009B2F9B" w:rsidRPr="00A2277A" w:rsidRDefault="0025362E" w:rsidP="00B31F10">
      <w:pPr>
        <w:pStyle w:val="Heading3"/>
      </w:pPr>
      <w:bookmarkStart w:id="298" w:name="_Toc461020991"/>
      <w:bookmarkStart w:id="299" w:name="_Toc461025656"/>
      <w:bookmarkStart w:id="300" w:name="_Toc461025864"/>
      <w:bookmarkStart w:id="301" w:name="_Toc461027135"/>
      <w:r>
        <w:t>3</w:t>
      </w:r>
      <w:r w:rsidR="00EE78E5">
        <w:t>.3.2.2</w:t>
      </w:r>
      <w:r w:rsidR="00EE78E5">
        <w:tab/>
      </w:r>
      <w:r w:rsidR="009B2F9B" w:rsidRPr="00A2277A">
        <w:t>Combustion Process Adjustment</w:t>
      </w:r>
      <w:bookmarkEnd w:id="298"/>
      <w:bookmarkEnd w:id="299"/>
      <w:bookmarkEnd w:id="300"/>
      <w:bookmarkEnd w:id="301"/>
    </w:p>
    <w:p w:rsidR="009B2F9B" w:rsidRPr="00A2277A" w:rsidRDefault="009B2F9B" w:rsidP="0025362E">
      <w:pPr>
        <w:pStyle w:val="NoSpacing"/>
        <w:spacing w:after="120"/>
        <w:ind w:left="360"/>
        <w:jc w:val="both"/>
        <w:rPr>
          <w:rFonts w:asciiTheme="minorHAnsi" w:hAnsiTheme="minorHAnsi"/>
        </w:rPr>
      </w:pPr>
      <w:r w:rsidRPr="00A2277A">
        <w:rPr>
          <w:rFonts w:asciiTheme="minorHAnsi" w:hAnsiTheme="minorHAnsi"/>
        </w:rPr>
        <w:t xml:space="preserve">The model rule requires that the turbine’s combustion process be adjusted as recommended </w:t>
      </w:r>
      <w:r w:rsidR="0060782B">
        <w:rPr>
          <w:noProof/>
        </w:rPr>
        <mc:AlternateContent>
          <mc:Choice Requires="wps">
            <w:drawing>
              <wp:anchor distT="0" distB="0" distL="114300" distR="114300" simplePos="0" relativeHeight="251749376" behindDoc="0" locked="1" layoutInCell="1" allowOverlap="0" wp14:anchorId="37F0C09B" wp14:editId="2A19CA42">
                <wp:simplePos x="0" y="0"/>
                <wp:positionH relativeFrom="margin">
                  <wp:posOffset>3019425</wp:posOffset>
                </wp:positionH>
                <wp:positionV relativeFrom="bottomMargin">
                  <wp:posOffset>206375</wp:posOffset>
                </wp:positionV>
                <wp:extent cx="914400" cy="237490"/>
                <wp:effectExtent l="0" t="0" r="0" b="0"/>
                <wp:wrapNone/>
                <wp:docPr id="21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237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782B" w:rsidRDefault="0060782B" w:rsidP="0060782B">
                            <w:pPr>
                              <w:ind w:right="60"/>
                              <w:rPr>
                                <w:rFonts w:asciiTheme="minorHAnsi" w:hAnsiTheme="minorHAnsi"/>
                                <w:sz w:val="20"/>
                                <w:szCs w:val="20"/>
                              </w:rPr>
                            </w:pPr>
                            <w:hyperlink w:anchor="TOC" w:history="1">
                              <w:r>
                                <w:rPr>
                                  <w:rStyle w:val="Hyperlink"/>
                                  <w:sz w:val="20"/>
                                  <w:szCs w:val="20"/>
                                </w:rPr>
                                <w:t>Back to TOC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0C09B" id="Text Box 212" o:spid="_x0000_s1061" type="#_x0000_t202" style="position:absolute;left:0;text-align:left;margin-left:237.75pt;margin-top:16.25pt;width:1in;height:18.7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EBFmQIAAK4FAAAOAAAAZHJzL2Uyb0RvYy54bWysVFFPGzEMfp+0/xDlfVxbCowTV9SBmCZV&#10;gAYTz2kuoRFJnCVp77pfj5O7K4XxwrSXOyf+bMf2Z5+dt0aTjfBBga3o+GBEibAcamUfK/rr/urL&#10;V0pCZLZmGqyo6FYEej77/OmscaWYwAp0LTxBJzaUjavoKkZXFkXgK2FYOAAnLColeMMiHv1jUXvW&#10;oHeji8lodFw04GvngYsQ8PayU9JZ9i+l4PFGyiAi0RXFt8X89fm7TN9idsbKR8/cSvH+GewfXmGY&#10;shh05+qSRUbWXv3lyijuIYCMBxxMAVIqLnIOmM149CabuxVzIueCxQluV6bw/9zy682tJ6qu6GQ8&#10;ocQyg026F20k36Al6Q4r1LhQIvDOITS2qMBO52yDWwB/Cggp9jCdQUB0qkgrvUl/zJWgITZhuyt8&#10;isPx8nQ8nY5Qw1E1OTyZnubGFC/Gzof4XYAhSaiox77mB7DNIsQUnpUDJMUKoFV9pbTOh8QlcaE9&#10;2TBkgY7jlBNavEJpS5qKHh8ejbJjC8m8w2mb3IjMpj5cyrZLMEtxq0XCaPtTSKxmzvOd2IxzYXfx&#10;MzqhJIb6iGGPf3nVR4y7PNAiRwYbd8ZGWfBdX1+XrH4aSiY7fN/v0OWdShDbZZtpdHg6MGYJ9RYJ&#10;46EbuuD4lcLuLViIt8zjlGHDcXPEG/xIDVh96CVKVuD/vHef8Eh+1FLS4NRWNPxeMy8o0T8sjkUm&#10;Eo55PkyPTiYYw+9rlvsauzYXgJQY445yPIsJH/UgSg/mARfMPEVFFbMcY1c0DuJF7HYJLigu5vMM&#10;wsF2LC7snePDnCRu3rcPzLuewBGZfw3DfLPyDY87bGqQhfk6glSZ5KnQXVX7BuBSyEzuF1jaOvvn&#10;jHpZs7NnAAAA//8DAFBLAwQUAAYACAAAACEAE2fmBuAAAAAJAQAADwAAAGRycy9kb3ducmV2Lnht&#10;bEyPMU/DMBCFdyT+g3VILBV1UmhLQpwKISq1QwdCl25ufCQR8Tmy3Tb8e46pTPdO9/Tue8VqtL04&#10;ow+dIwXpNAGBVDvTUaNg/7l+eAYRoiaje0eo4AcDrMrbm0Lnxl3oA89VbASHUMi1gjbGIZcy1C1a&#10;HaZuQOLbl/NWR159I43XFw63vZwlyUJa3RF/aPWAby3W39XJKtiFw2Zy8Jv1pApGbhF379s0KnV/&#10;N76+gIg4xqsZ/vAZHUpmOroTmSB6BU/L+ZytCh5nPNmwSDMWRxZZBrIs5P8G5S8AAAD//wMAUEsB&#10;Ai0AFAAGAAgAAAAhALaDOJL+AAAA4QEAABMAAAAAAAAAAAAAAAAAAAAAAFtDb250ZW50X1R5cGVz&#10;XS54bWxQSwECLQAUAAYACAAAACEAOP0h/9YAAACUAQAACwAAAAAAAAAAAAAAAAAvAQAAX3JlbHMv&#10;LnJlbHNQSwECLQAUAAYACAAAACEABfRARZkCAACuBQAADgAAAAAAAAAAAAAAAAAuAgAAZHJzL2Uy&#10;b0RvYy54bWxQSwECLQAUAAYACAAAACEAE2fmBuAAAAAJAQAADwAAAAAAAAAAAAAAAADzBAAAZHJz&#10;L2Rvd25yZXYueG1sUEsFBgAAAAAEAAQA8wAAAAAGAAAAAA==&#10;" o:allowoverlap="f" fillcolor="white [3201]" stroked="f" strokeweight=".5pt">
                <v:path arrowok="t"/>
                <v:textbox>
                  <w:txbxContent>
                    <w:p w:rsidR="0060782B" w:rsidRDefault="0060782B" w:rsidP="0060782B">
                      <w:pPr>
                        <w:ind w:right="60"/>
                        <w:rPr>
                          <w:rFonts w:asciiTheme="minorHAnsi" w:hAnsiTheme="minorHAnsi"/>
                          <w:sz w:val="20"/>
                          <w:szCs w:val="20"/>
                        </w:rPr>
                      </w:pPr>
                      <w:hyperlink w:anchor="TOC" w:history="1">
                        <w:r>
                          <w:rPr>
                            <w:rStyle w:val="Hyperlink"/>
                            <w:sz w:val="20"/>
                            <w:szCs w:val="20"/>
                          </w:rPr>
                          <w:t>Back to TOC</w:t>
                        </w:r>
                      </w:hyperlink>
                    </w:p>
                  </w:txbxContent>
                </v:textbox>
                <w10:wrap anchorx="margin" anchory="margin"/>
                <w10:anchorlock/>
              </v:shape>
            </w:pict>
          </mc:Fallback>
        </mc:AlternateContent>
      </w:r>
      <w:r w:rsidRPr="00A2277A">
        <w:rPr>
          <w:rFonts w:asciiTheme="minorHAnsi" w:hAnsiTheme="minorHAnsi"/>
        </w:rPr>
        <w:t xml:space="preserve">in the manufacturer’s maintenance guide and schedule.  </w:t>
      </w:r>
    </w:p>
    <w:p w:rsidR="009B2F9B" w:rsidRPr="00A2277A" w:rsidRDefault="0025362E" w:rsidP="0025362E">
      <w:pPr>
        <w:pStyle w:val="Heading4"/>
        <w:ind w:left="900"/>
      </w:pPr>
      <w:bookmarkStart w:id="302" w:name="_Toc461020992"/>
      <w:bookmarkStart w:id="303" w:name="_Toc461025657"/>
      <w:bookmarkStart w:id="304" w:name="_Toc461027136"/>
      <w:r>
        <w:lastRenderedPageBreak/>
        <w:t>3</w:t>
      </w:r>
      <w:r w:rsidR="009B2F9B" w:rsidRPr="00A2277A">
        <w:t>.3.2.3</w:t>
      </w:r>
      <w:r w:rsidR="009B2F9B" w:rsidRPr="00A2277A">
        <w:tab/>
        <w:t>Alternate RACT Provision</w:t>
      </w:r>
      <w:bookmarkEnd w:id="302"/>
      <w:bookmarkEnd w:id="303"/>
      <w:bookmarkEnd w:id="304"/>
    </w:p>
    <w:p w:rsidR="009B2F9B" w:rsidRPr="00A2277A" w:rsidRDefault="009B2F9B" w:rsidP="0081054E">
      <w:pPr>
        <w:pStyle w:val="NoSpacing"/>
        <w:spacing w:after="120"/>
        <w:ind w:left="907"/>
        <w:jc w:val="both"/>
        <w:rPr>
          <w:rFonts w:asciiTheme="minorHAnsi" w:hAnsiTheme="minorHAnsi"/>
        </w:rPr>
      </w:pPr>
      <w:r w:rsidRPr="00A2277A">
        <w:rPr>
          <w:rFonts w:asciiTheme="minorHAnsi" w:hAnsiTheme="minorHAnsi"/>
        </w:rPr>
        <w:t xml:space="preserve">The model rule provides an alternative to complying with the emission limits in 4.3.2.1. The alternative is only available if a HEDDCT is unable to comply with the performance standards listed in </w:t>
      </w:r>
      <w:r w:rsidR="006633FD">
        <w:rPr>
          <w:rFonts w:asciiTheme="minorHAnsi" w:hAnsiTheme="minorHAnsi"/>
        </w:rPr>
        <w:t>Table 3-7</w:t>
      </w:r>
      <w:r w:rsidRPr="00A2277A">
        <w:rPr>
          <w:rFonts w:asciiTheme="minorHAnsi" w:hAnsiTheme="minorHAnsi"/>
        </w:rPr>
        <w:t>.  An evaluation of any available control devices must be performed to demonstrate that the available controls would be either technically or economically infeasible for that turbine.  If any control device or method of modifying the turbine or the turbine operation to reduce NO</w:t>
      </w:r>
      <w:r w:rsidRPr="00A2277A">
        <w:rPr>
          <w:rFonts w:asciiTheme="minorHAnsi" w:hAnsiTheme="minorHAnsi"/>
          <w:vertAlign w:val="subscript"/>
        </w:rPr>
        <w:t>x</w:t>
      </w:r>
      <w:r w:rsidRPr="00A2277A">
        <w:rPr>
          <w:rFonts w:asciiTheme="minorHAnsi" w:hAnsiTheme="minorHAnsi"/>
        </w:rPr>
        <w:t xml:space="preserve"> emissions is technically and economically feasible, it must be applied, even if it does not reduce the NO</w:t>
      </w:r>
      <w:r w:rsidRPr="00A2277A">
        <w:rPr>
          <w:rFonts w:asciiTheme="minorHAnsi" w:hAnsiTheme="minorHAnsi"/>
          <w:vertAlign w:val="subscript"/>
        </w:rPr>
        <w:t>x</w:t>
      </w:r>
      <w:r w:rsidRPr="00A2277A">
        <w:rPr>
          <w:rFonts w:asciiTheme="minorHAnsi" w:hAnsiTheme="minorHAnsi"/>
        </w:rPr>
        <w:t xml:space="preserve"> emissions enough to comply with the above limits.  The permitting agency may then approve an alternative emission limit that is higher than the performance standards listed above but is determined to be reasonably achievable by that turbine.</w:t>
      </w:r>
    </w:p>
    <w:p w:rsidR="009B2F9B" w:rsidRPr="004E29B1" w:rsidRDefault="009B2F9B" w:rsidP="0081054E">
      <w:pPr>
        <w:pStyle w:val="NoSpacing"/>
        <w:spacing w:after="120"/>
        <w:ind w:left="900"/>
        <w:jc w:val="both"/>
        <w:rPr>
          <w:rFonts w:asciiTheme="minorHAnsi" w:hAnsiTheme="minorHAnsi"/>
        </w:rPr>
      </w:pPr>
      <w:r w:rsidRPr="00A2277A">
        <w:rPr>
          <w:rFonts w:asciiTheme="minorHAnsi" w:hAnsiTheme="minorHAnsi"/>
          <w:snapToGrid w:val="0"/>
        </w:rPr>
        <w:t xml:space="preserve">In most cases, the performance standards can be achieved by applying one of the </w:t>
      </w:r>
      <w:r w:rsidRPr="00EF5EA2">
        <w:rPr>
          <w:rFonts w:asciiTheme="minorHAnsi" w:hAnsiTheme="minorHAnsi"/>
          <w:snapToGrid w:val="0"/>
        </w:rPr>
        <w:t xml:space="preserve">control methods listed in </w:t>
      </w:r>
      <w:r w:rsidR="006633FD">
        <w:rPr>
          <w:rFonts w:asciiTheme="minorHAnsi" w:hAnsiTheme="minorHAnsi"/>
          <w:bCs/>
          <w:snapToGrid w:val="0"/>
        </w:rPr>
        <w:t>Table 3-9</w:t>
      </w:r>
      <w:r w:rsidRPr="00EF5EA2">
        <w:rPr>
          <w:rFonts w:asciiTheme="minorHAnsi" w:hAnsiTheme="minorHAnsi"/>
          <w:snapToGrid w:val="0"/>
        </w:rPr>
        <w:t xml:space="preserve">.  </w:t>
      </w:r>
      <w:r w:rsidRPr="00EF5EA2">
        <w:rPr>
          <w:rFonts w:asciiTheme="minorHAnsi" w:hAnsiTheme="minorHAnsi"/>
        </w:rPr>
        <w:t xml:space="preserve">These control methods are widely used in industry throughout the United States and are </w:t>
      </w:r>
      <w:r w:rsidRPr="004E29B1">
        <w:rPr>
          <w:rFonts w:asciiTheme="minorHAnsi" w:hAnsiTheme="minorHAnsi"/>
        </w:rPr>
        <w:t xml:space="preserve">reasonably available given their extensive use.  </w:t>
      </w:r>
    </w:p>
    <w:p w:rsidR="00462C12" w:rsidRPr="00462C12" w:rsidRDefault="00462C12" w:rsidP="00462C12">
      <w:pPr>
        <w:pStyle w:val="Caption"/>
        <w:keepNext/>
        <w:spacing w:before="240" w:after="120"/>
        <w:rPr>
          <w:rFonts w:asciiTheme="minorHAnsi" w:hAnsiTheme="minorHAnsi"/>
          <w:sz w:val="22"/>
          <w:szCs w:val="22"/>
        </w:rPr>
      </w:pPr>
      <w:bookmarkStart w:id="305" w:name="_Toc461106810"/>
      <w:r w:rsidRPr="00462C12">
        <w:rPr>
          <w:rFonts w:asciiTheme="minorHAnsi" w:hAnsiTheme="minorHAnsi"/>
          <w:sz w:val="22"/>
          <w:szCs w:val="22"/>
        </w:rPr>
        <w:t>Table 3-9</w:t>
      </w:r>
      <w:r w:rsidR="00FD75BF">
        <w:rPr>
          <w:rFonts w:asciiTheme="minorHAnsi" w:hAnsiTheme="minorHAnsi"/>
          <w:sz w:val="22"/>
          <w:szCs w:val="22"/>
        </w:rPr>
        <w:tab/>
      </w:r>
      <w:r w:rsidRPr="00462C12">
        <w:rPr>
          <w:rStyle w:val="NoSpacingChar"/>
          <w:rFonts w:asciiTheme="minorHAnsi" w:hAnsiTheme="minorHAnsi"/>
          <w:sz w:val="22"/>
          <w:szCs w:val="22"/>
        </w:rPr>
        <w:t xml:space="preserve">Reasonably Available </w:t>
      </w:r>
      <w:r w:rsidRPr="00462C12">
        <w:rPr>
          <w:rFonts w:asciiTheme="minorHAnsi" w:hAnsiTheme="minorHAnsi"/>
          <w:sz w:val="22"/>
          <w:szCs w:val="22"/>
        </w:rPr>
        <w:t>NO</w:t>
      </w:r>
      <w:r w:rsidRPr="00462C12">
        <w:rPr>
          <w:rFonts w:asciiTheme="minorHAnsi" w:hAnsiTheme="minorHAnsi"/>
          <w:sz w:val="22"/>
          <w:szCs w:val="22"/>
          <w:vertAlign w:val="subscript"/>
        </w:rPr>
        <w:t>x</w:t>
      </w:r>
      <w:r w:rsidRPr="00462C12">
        <w:rPr>
          <w:rStyle w:val="NoSpacingChar"/>
          <w:rFonts w:asciiTheme="minorHAnsi" w:hAnsiTheme="minorHAnsi"/>
          <w:sz w:val="22"/>
          <w:szCs w:val="22"/>
        </w:rPr>
        <w:t xml:space="preserve"> Emission Control Technologies for HEDDCT</w:t>
      </w:r>
      <w:bookmarkEnd w:id="305"/>
    </w:p>
    <w:tbl>
      <w:tblPr>
        <w:tblW w:w="782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2032"/>
        <w:gridCol w:w="3273"/>
        <w:gridCol w:w="2520"/>
      </w:tblGrid>
      <w:tr w:rsidR="009B2F9B" w:rsidRPr="00EF5EA2" w:rsidTr="00EE78E5">
        <w:trPr>
          <w:trHeight w:val="255"/>
          <w:jc w:val="center"/>
        </w:trPr>
        <w:tc>
          <w:tcPr>
            <w:tcW w:w="2032" w:type="dxa"/>
            <w:tcBorders>
              <w:top w:val="single" w:sz="4" w:space="0" w:color="auto"/>
            </w:tcBorders>
            <w:vAlign w:val="center"/>
          </w:tcPr>
          <w:p w:rsidR="009B2F9B" w:rsidRPr="00EF5EA2" w:rsidRDefault="009B2F9B" w:rsidP="0081054E">
            <w:pPr>
              <w:keepNext/>
              <w:keepLines/>
              <w:spacing w:line="240" w:lineRule="auto"/>
              <w:rPr>
                <w:rFonts w:asciiTheme="minorHAnsi" w:hAnsiTheme="minorHAnsi"/>
              </w:rPr>
            </w:pPr>
            <w:r w:rsidRPr="00EF5EA2">
              <w:rPr>
                <w:rFonts w:asciiTheme="minorHAnsi" w:hAnsiTheme="minorHAnsi"/>
              </w:rPr>
              <w:t>Fuel Type</w:t>
            </w:r>
          </w:p>
        </w:tc>
        <w:tc>
          <w:tcPr>
            <w:tcW w:w="3273" w:type="dxa"/>
            <w:tcBorders>
              <w:top w:val="single" w:sz="4" w:space="0" w:color="auto"/>
            </w:tcBorders>
            <w:vAlign w:val="center"/>
          </w:tcPr>
          <w:p w:rsidR="009B2F9B" w:rsidRPr="00EF5EA2" w:rsidRDefault="009B2F9B" w:rsidP="0081054E">
            <w:pPr>
              <w:keepNext/>
              <w:keepLines/>
              <w:spacing w:line="240" w:lineRule="auto"/>
              <w:rPr>
                <w:rFonts w:asciiTheme="minorHAnsi" w:hAnsiTheme="minorHAnsi"/>
              </w:rPr>
            </w:pPr>
            <w:r w:rsidRPr="00EF5EA2">
              <w:rPr>
                <w:rFonts w:asciiTheme="minorHAnsi" w:hAnsiTheme="minorHAnsi"/>
              </w:rPr>
              <w:t>Available Control Methods</w:t>
            </w:r>
            <w:r w:rsidRPr="00EF5EA2">
              <w:rPr>
                <w:rStyle w:val="FootnoteReference"/>
                <w:rFonts w:asciiTheme="minorHAnsi" w:hAnsiTheme="minorHAnsi"/>
              </w:rPr>
              <w:footnoteReference w:id="16"/>
            </w:r>
          </w:p>
        </w:tc>
        <w:tc>
          <w:tcPr>
            <w:tcW w:w="2520" w:type="dxa"/>
            <w:tcBorders>
              <w:top w:val="single" w:sz="4" w:space="0" w:color="auto"/>
            </w:tcBorders>
            <w:vAlign w:val="center"/>
          </w:tcPr>
          <w:p w:rsidR="009B2F9B" w:rsidRPr="00EF5EA2" w:rsidRDefault="009B2F9B" w:rsidP="0081054E">
            <w:pPr>
              <w:keepNext/>
              <w:keepLines/>
              <w:spacing w:line="240" w:lineRule="auto"/>
              <w:rPr>
                <w:rFonts w:asciiTheme="minorHAnsi" w:hAnsiTheme="minorHAnsi"/>
              </w:rPr>
            </w:pPr>
            <w:r w:rsidRPr="00EF5EA2">
              <w:rPr>
                <w:rFonts w:asciiTheme="minorHAnsi" w:hAnsiTheme="minorHAnsi"/>
              </w:rPr>
              <w:t>Expected Emission Reduction</w:t>
            </w:r>
          </w:p>
        </w:tc>
      </w:tr>
      <w:tr w:rsidR="009B2F9B" w:rsidRPr="00EF5EA2" w:rsidTr="00EE78E5">
        <w:trPr>
          <w:trHeight w:val="300"/>
          <w:jc w:val="center"/>
        </w:trPr>
        <w:tc>
          <w:tcPr>
            <w:tcW w:w="7825" w:type="dxa"/>
            <w:gridSpan w:val="3"/>
            <w:vAlign w:val="center"/>
          </w:tcPr>
          <w:p w:rsidR="009B2F9B" w:rsidRPr="00EF5EA2" w:rsidRDefault="009B2F9B" w:rsidP="0081054E">
            <w:pPr>
              <w:keepNext/>
              <w:keepLines/>
              <w:spacing w:line="240" w:lineRule="auto"/>
              <w:rPr>
                <w:rFonts w:asciiTheme="minorHAnsi" w:hAnsiTheme="minorHAnsi"/>
              </w:rPr>
            </w:pPr>
            <w:r w:rsidRPr="00EF5EA2">
              <w:rPr>
                <w:rFonts w:asciiTheme="minorHAnsi" w:hAnsiTheme="minorHAnsi"/>
              </w:rPr>
              <w:t>Primary (pollution prevention):</w:t>
            </w:r>
          </w:p>
        </w:tc>
      </w:tr>
      <w:tr w:rsidR="009B2F9B" w:rsidRPr="00EF5EA2" w:rsidTr="00EE78E5">
        <w:trPr>
          <w:trHeight w:val="300"/>
          <w:jc w:val="center"/>
        </w:trPr>
        <w:tc>
          <w:tcPr>
            <w:tcW w:w="2032" w:type="dxa"/>
            <w:vAlign w:val="center"/>
          </w:tcPr>
          <w:p w:rsidR="009B2F9B" w:rsidRPr="00EF5EA2" w:rsidRDefault="009B2F9B" w:rsidP="0081054E">
            <w:pPr>
              <w:keepNext/>
              <w:keepLines/>
              <w:spacing w:line="240" w:lineRule="auto"/>
              <w:rPr>
                <w:rFonts w:asciiTheme="minorHAnsi" w:hAnsiTheme="minorHAnsi"/>
              </w:rPr>
            </w:pPr>
            <w:r w:rsidRPr="00EF5EA2">
              <w:rPr>
                <w:rStyle w:val="NoSpacingChar"/>
                <w:rFonts w:asciiTheme="minorHAnsi" w:hAnsiTheme="minorHAnsi"/>
              </w:rPr>
              <w:t>Natural Gas</w:t>
            </w:r>
            <w:r w:rsidRPr="00EF5EA2">
              <w:rPr>
                <w:rFonts w:asciiTheme="minorHAnsi" w:hAnsiTheme="minorHAnsi"/>
              </w:rPr>
              <w:t xml:space="preserve">, </w:t>
            </w:r>
          </w:p>
          <w:p w:rsidR="009B2F9B" w:rsidRPr="00EF5EA2" w:rsidRDefault="009B2F9B" w:rsidP="0081054E">
            <w:pPr>
              <w:keepNext/>
              <w:keepLines/>
              <w:spacing w:line="240" w:lineRule="auto"/>
              <w:rPr>
                <w:rFonts w:asciiTheme="minorHAnsi" w:hAnsiTheme="minorHAnsi"/>
              </w:rPr>
            </w:pPr>
            <w:r w:rsidRPr="00EF5EA2">
              <w:rPr>
                <w:rStyle w:val="NoSpacingChar"/>
                <w:rFonts w:asciiTheme="minorHAnsi" w:hAnsiTheme="minorHAnsi"/>
              </w:rPr>
              <w:t>Distillate Fuel Oil</w:t>
            </w:r>
          </w:p>
        </w:tc>
        <w:tc>
          <w:tcPr>
            <w:tcW w:w="3273" w:type="dxa"/>
            <w:vAlign w:val="center"/>
          </w:tcPr>
          <w:p w:rsidR="009B2F9B" w:rsidRPr="00EF5EA2" w:rsidRDefault="009B2F9B" w:rsidP="0081054E">
            <w:pPr>
              <w:keepNext/>
              <w:keepLines/>
              <w:spacing w:line="240" w:lineRule="auto"/>
              <w:rPr>
                <w:rFonts w:asciiTheme="minorHAnsi" w:hAnsiTheme="minorHAnsi"/>
              </w:rPr>
            </w:pPr>
            <w:r w:rsidRPr="00EF5EA2">
              <w:rPr>
                <w:rFonts w:asciiTheme="minorHAnsi" w:hAnsiTheme="minorHAnsi"/>
              </w:rPr>
              <w:t>Water Injection (WI)</w:t>
            </w:r>
          </w:p>
        </w:tc>
        <w:tc>
          <w:tcPr>
            <w:tcW w:w="2520" w:type="dxa"/>
            <w:vAlign w:val="center"/>
          </w:tcPr>
          <w:p w:rsidR="009B2F9B" w:rsidRPr="00EF5EA2" w:rsidRDefault="009B2F9B" w:rsidP="0081054E">
            <w:pPr>
              <w:keepNext/>
              <w:keepLines/>
              <w:spacing w:line="240" w:lineRule="auto"/>
              <w:rPr>
                <w:rFonts w:asciiTheme="minorHAnsi" w:hAnsiTheme="minorHAnsi"/>
              </w:rPr>
            </w:pPr>
            <w:r w:rsidRPr="00EF5EA2">
              <w:rPr>
                <w:rFonts w:asciiTheme="minorHAnsi" w:hAnsiTheme="minorHAnsi"/>
              </w:rPr>
              <w:t>40%</w:t>
            </w:r>
          </w:p>
        </w:tc>
      </w:tr>
      <w:tr w:rsidR="009B2F9B" w:rsidRPr="00EF5EA2" w:rsidTr="00EE78E5">
        <w:trPr>
          <w:trHeight w:val="354"/>
          <w:jc w:val="center"/>
        </w:trPr>
        <w:tc>
          <w:tcPr>
            <w:tcW w:w="2032" w:type="dxa"/>
            <w:vAlign w:val="center"/>
          </w:tcPr>
          <w:p w:rsidR="009B2F9B" w:rsidRPr="00EF5EA2" w:rsidRDefault="009B2F9B" w:rsidP="0081054E">
            <w:pPr>
              <w:keepNext/>
              <w:keepLines/>
              <w:spacing w:line="240" w:lineRule="auto"/>
              <w:rPr>
                <w:rFonts w:asciiTheme="minorHAnsi" w:hAnsiTheme="minorHAnsi"/>
              </w:rPr>
            </w:pPr>
            <w:r w:rsidRPr="00EF5EA2">
              <w:rPr>
                <w:rStyle w:val="NoSpacingChar"/>
                <w:rFonts w:asciiTheme="minorHAnsi" w:hAnsiTheme="minorHAnsi"/>
              </w:rPr>
              <w:t>Natural Gas</w:t>
            </w:r>
            <w:r w:rsidRPr="00EF5EA2">
              <w:rPr>
                <w:rFonts w:asciiTheme="minorHAnsi" w:hAnsiTheme="minorHAnsi"/>
              </w:rPr>
              <w:t xml:space="preserve"> </w:t>
            </w:r>
          </w:p>
        </w:tc>
        <w:tc>
          <w:tcPr>
            <w:tcW w:w="3273" w:type="dxa"/>
            <w:vAlign w:val="center"/>
          </w:tcPr>
          <w:p w:rsidR="009B2F9B" w:rsidRPr="00EF5EA2" w:rsidRDefault="009B2F9B" w:rsidP="0081054E">
            <w:pPr>
              <w:keepNext/>
              <w:keepLines/>
              <w:spacing w:line="240" w:lineRule="auto"/>
              <w:rPr>
                <w:rFonts w:asciiTheme="minorHAnsi" w:hAnsiTheme="minorHAnsi"/>
              </w:rPr>
            </w:pPr>
            <w:r w:rsidRPr="00EF5EA2">
              <w:rPr>
                <w:rFonts w:asciiTheme="minorHAnsi" w:hAnsiTheme="minorHAnsi"/>
              </w:rPr>
              <w:t>Dry Low NO</w:t>
            </w:r>
            <w:r w:rsidRPr="00EF5EA2">
              <w:rPr>
                <w:rFonts w:asciiTheme="minorHAnsi" w:hAnsiTheme="minorHAnsi"/>
                <w:vertAlign w:val="subscript"/>
              </w:rPr>
              <w:t xml:space="preserve">x </w:t>
            </w:r>
            <w:r w:rsidRPr="00EF5EA2">
              <w:rPr>
                <w:rFonts w:asciiTheme="minorHAnsi" w:hAnsiTheme="minorHAnsi"/>
              </w:rPr>
              <w:t>Combustors (DLN)</w:t>
            </w:r>
          </w:p>
        </w:tc>
        <w:tc>
          <w:tcPr>
            <w:tcW w:w="2520" w:type="dxa"/>
            <w:vAlign w:val="center"/>
          </w:tcPr>
          <w:p w:rsidR="009B2F9B" w:rsidRPr="00EF5EA2" w:rsidRDefault="009B2F9B" w:rsidP="0081054E">
            <w:pPr>
              <w:keepNext/>
              <w:keepLines/>
              <w:spacing w:line="240" w:lineRule="auto"/>
              <w:rPr>
                <w:rFonts w:asciiTheme="minorHAnsi" w:hAnsiTheme="minorHAnsi"/>
              </w:rPr>
            </w:pPr>
            <w:r w:rsidRPr="00EF5EA2">
              <w:rPr>
                <w:rFonts w:asciiTheme="minorHAnsi" w:hAnsiTheme="minorHAnsi"/>
              </w:rPr>
              <w:t>90%</w:t>
            </w:r>
          </w:p>
        </w:tc>
      </w:tr>
      <w:tr w:rsidR="009B2F9B" w:rsidRPr="00EF5EA2" w:rsidTr="00EE78E5">
        <w:trPr>
          <w:trHeight w:val="228"/>
          <w:jc w:val="center"/>
        </w:trPr>
        <w:tc>
          <w:tcPr>
            <w:tcW w:w="7825" w:type="dxa"/>
            <w:gridSpan w:val="3"/>
            <w:vAlign w:val="center"/>
          </w:tcPr>
          <w:p w:rsidR="009B2F9B" w:rsidRPr="00EF5EA2" w:rsidRDefault="009B2F9B" w:rsidP="0081054E">
            <w:pPr>
              <w:keepNext/>
              <w:keepLines/>
              <w:spacing w:line="240" w:lineRule="auto"/>
              <w:rPr>
                <w:rFonts w:asciiTheme="minorHAnsi" w:hAnsiTheme="minorHAnsi"/>
              </w:rPr>
            </w:pPr>
            <w:r w:rsidRPr="00EF5EA2">
              <w:rPr>
                <w:rFonts w:asciiTheme="minorHAnsi" w:hAnsiTheme="minorHAnsi"/>
              </w:rPr>
              <w:t>Secondary (add-on control):</w:t>
            </w:r>
          </w:p>
        </w:tc>
      </w:tr>
      <w:tr w:rsidR="009B2F9B" w:rsidRPr="00EF5EA2" w:rsidTr="00EE78E5">
        <w:trPr>
          <w:trHeight w:val="489"/>
          <w:jc w:val="center"/>
        </w:trPr>
        <w:tc>
          <w:tcPr>
            <w:tcW w:w="2032" w:type="dxa"/>
            <w:tcBorders>
              <w:bottom w:val="single" w:sz="4" w:space="0" w:color="auto"/>
            </w:tcBorders>
            <w:vAlign w:val="center"/>
          </w:tcPr>
          <w:p w:rsidR="009B2F9B" w:rsidRPr="00EF5EA2" w:rsidRDefault="009B2F9B" w:rsidP="0081054E">
            <w:pPr>
              <w:keepNext/>
              <w:keepLines/>
              <w:spacing w:line="240" w:lineRule="auto"/>
              <w:rPr>
                <w:rFonts w:asciiTheme="minorHAnsi" w:hAnsiTheme="minorHAnsi"/>
              </w:rPr>
            </w:pPr>
            <w:r w:rsidRPr="00EF5EA2">
              <w:rPr>
                <w:rStyle w:val="NoSpacingChar"/>
                <w:rFonts w:asciiTheme="minorHAnsi" w:hAnsiTheme="minorHAnsi"/>
              </w:rPr>
              <w:t>Natural Gas</w:t>
            </w:r>
            <w:r w:rsidRPr="00EF5EA2">
              <w:rPr>
                <w:rFonts w:asciiTheme="minorHAnsi" w:hAnsiTheme="minorHAnsi"/>
              </w:rPr>
              <w:t>,</w:t>
            </w:r>
          </w:p>
          <w:p w:rsidR="009B2F9B" w:rsidRPr="00EF5EA2" w:rsidRDefault="009B2F9B" w:rsidP="0081054E">
            <w:pPr>
              <w:keepNext/>
              <w:keepLines/>
              <w:spacing w:line="240" w:lineRule="auto"/>
              <w:rPr>
                <w:rFonts w:asciiTheme="minorHAnsi" w:hAnsiTheme="minorHAnsi"/>
              </w:rPr>
            </w:pPr>
            <w:r w:rsidRPr="00EF5EA2">
              <w:rPr>
                <w:rStyle w:val="NoSpacingChar"/>
                <w:rFonts w:asciiTheme="minorHAnsi" w:hAnsiTheme="minorHAnsi"/>
              </w:rPr>
              <w:t>Distillate Fuel Oil</w:t>
            </w:r>
          </w:p>
        </w:tc>
        <w:tc>
          <w:tcPr>
            <w:tcW w:w="3273" w:type="dxa"/>
            <w:tcBorders>
              <w:bottom w:val="single" w:sz="4" w:space="0" w:color="auto"/>
            </w:tcBorders>
            <w:vAlign w:val="center"/>
          </w:tcPr>
          <w:p w:rsidR="009B2F9B" w:rsidRPr="00EF5EA2" w:rsidRDefault="009B2F9B" w:rsidP="0081054E">
            <w:pPr>
              <w:keepNext/>
              <w:keepLines/>
              <w:spacing w:line="240" w:lineRule="auto"/>
              <w:rPr>
                <w:rFonts w:asciiTheme="minorHAnsi" w:hAnsiTheme="minorHAnsi"/>
              </w:rPr>
            </w:pPr>
            <w:r w:rsidRPr="00EF5EA2">
              <w:rPr>
                <w:rFonts w:asciiTheme="minorHAnsi" w:hAnsiTheme="minorHAnsi"/>
              </w:rPr>
              <w:t>Selective Catalytic Reduction (SCR)</w:t>
            </w:r>
          </w:p>
        </w:tc>
        <w:tc>
          <w:tcPr>
            <w:tcW w:w="2520" w:type="dxa"/>
            <w:tcBorders>
              <w:bottom w:val="single" w:sz="4" w:space="0" w:color="auto"/>
            </w:tcBorders>
            <w:vAlign w:val="center"/>
          </w:tcPr>
          <w:p w:rsidR="009B2F9B" w:rsidRPr="00EF5EA2" w:rsidRDefault="009B2F9B" w:rsidP="0081054E">
            <w:pPr>
              <w:keepNext/>
              <w:keepLines/>
              <w:spacing w:line="240" w:lineRule="auto"/>
              <w:rPr>
                <w:rFonts w:asciiTheme="minorHAnsi" w:hAnsiTheme="minorHAnsi"/>
              </w:rPr>
            </w:pPr>
            <w:r w:rsidRPr="00EF5EA2">
              <w:rPr>
                <w:rFonts w:asciiTheme="minorHAnsi" w:hAnsiTheme="minorHAnsi"/>
              </w:rPr>
              <w:t>70 – 90%</w:t>
            </w:r>
            <w:r w:rsidRPr="00EF5EA2">
              <w:rPr>
                <w:rStyle w:val="FootnoteReference"/>
                <w:rFonts w:asciiTheme="minorHAnsi" w:hAnsiTheme="minorHAnsi"/>
              </w:rPr>
              <w:footnoteReference w:id="17"/>
            </w:r>
          </w:p>
        </w:tc>
      </w:tr>
    </w:tbl>
    <w:p w:rsidR="009B2F9B" w:rsidRPr="00EF5EA2" w:rsidRDefault="0025362E" w:rsidP="0025362E">
      <w:pPr>
        <w:pStyle w:val="Heading3"/>
      </w:pPr>
      <w:bookmarkStart w:id="306" w:name="_Toc461020993"/>
      <w:bookmarkStart w:id="307" w:name="_Toc461025658"/>
      <w:bookmarkStart w:id="308" w:name="_Toc461025865"/>
      <w:bookmarkStart w:id="309" w:name="_Toc461027137"/>
      <w:r>
        <w:t>3</w:t>
      </w:r>
      <w:r w:rsidR="009B2F9B" w:rsidRPr="00EF5EA2">
        <w:t>.3.3</w:t>
      </w:r>
      <w:r>
        <w:tab/>
      </w:r>
      <w:r w:rsidR="009B2F9B" w:rsidRPr="00EF5EA2">
        <w:tab/>
        <w:t>Emissions Reduction Benefit</w:t>
      </w:r>
      <w:bookmarkEnd w:id="306"/>
      <w:bookmarkEnd w:id="307"/>
      <w:bookmarkEnd w:id="308"/>
      <w:bookmarkEnd w:id="309"/>
    </w:p>
    <w:p w:rsidR="009B2F9B" w:rsidRPr="00A2277A" w:rsidRDefault="009B2F9B" w:rsidP="0081054E">
      <w:pPr>
        <w:autoSpaceDE w:val="0"/>
        <w:autoSpaceDN w:val="0"/>
        <w:adjustRightInd w:val="0"/>
        <w:spacing w:after="120" w:line="240" w:lineRule="auto"/>
        <w:ind w:left="360"/>
        <w:jc w:val="both"/>
        <w:rPr>
          <w:rFonts w:asciiTheme="minorHAnsi" w:hAnsiTheme="minorHAnsi"/>
        </w:rPr>
      </w:pPr>
      <w:r w:rsidRPr="00EF5EA2">
        <w:rPr>
          <w:rFonts w:asciiTheme="minorHAnsi" w:hAnsiTheme="minorHAnsi"/>
        </w:rPr>
        <w:t>The expected emission reduction resulting from adoption of the OTC HEDDCT model rule region-wide is a preliminary estimate based on actual NO</w:t>
      </w:r>
      <w:r w:rsidRPr="00EF5EA2">
        <w:rPr>
          <w:rFonts w:asciiTheme="minorHAnsi" w:hAnsiTheme="minorHAnsi"/>
          <w:vertAlign w:val="subscript"/>
        </w:rPr>
        <w:t>x</w:t>
      </w:r>
      <w:r w:rsidRPr="00EF5EA2">
        <w:rPr>
          <w:rFonts w:asciiTheme="minorHAnsi" w:hAnsiTheme="minorHAnsi"/>
        </w:rPr>
        <w:t xml:space="preserve"> emissions</w:t>
      </w:r>
      <w:r w:rsidRPr="00A2277A">
        <w:rPr>
          <w:rFonts w:asciiTheme="minorHAnsi" w:hAnsiTheme="minorHAnsi"/>
        </w:rPr>
        <w:t xml:space="preserve"> from HEDDCT in the 2007 ozone season.</w:t>
      </w:r>
      <w:r w:rsidRPr="00A2277A">
        <w:rPr>
          <w:rStyle w:val="FootnoteReference"/>
          <w:rFonts w:asciiTheme="minorHAnsi" w:hAnsiTheme="minorHAnsi"/>
        </w:rPr>
        <w:footnoteReference w:id="18"/>
      </w:r>
      <w:r w:rsidRPr="00A2277A">
        <w:rPr>
          <w:rFonts w:asciiTheme="minorHAnsi" w:hAnsiTheme="minorHAnsi"/>
        </w:rPr>
        <w:t xml:space="preserve">  Assumptions include that all HEDDCT currently utilize water injection </w:t>
      </w:r>
      <w:r w:rsidR="0060782B">
        <w:rPr>
          <w:noProof/>
        </w:rPr>
        <mc:AlternateContent>
          <mc:Choice Requires="wps">
            <w:drawing>
              <wp:anchor distT="0" distB="0" distL="114300" distR="114300" simplePos="0" relativeHeight="251751424" behindDoc="0" locked="1" layoutInCell="1" allowOverlap="0" wp14:anchorId="37F0C09B" wp14:editId="2A19CA42">
                <wp:simplePos x="0" y="0"/>
                <wp:positionH relativeFrom="margin">
                  <wp:posOffset>2886075</wp:posOffset>
                </wp:positionH>
                <wp:positionV relativeFrom="bottomMargin">
                  <wp:posOffset>1329690</wp:posOffset>
                </wp:positionV>
                <wp:extent cx="914400" cy="237490"/>
                <wp:effectExtent l="0" t="0" r="0" b="0"/>
                <wp:wrapNone/>
                <wp:docPr id="21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237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782B" w:rsidRDefault="0060782B" w:rsidP="0060782B">
                            <w:pPr>
                              <w:ind w:right="60"/>
                              <w:rPr>
                                <w:rFonts w:asciiTheme="minorHAnsi" w:hAnsiTheme="minorHAnsi"/>
                                <w:sz w:val="20"/>
                                <w:szCs w:val="20"/>
                              </w:rPr>
                            </w:pPr>
                            <w:hyperlink w:anchor="TOC" w:history="1">
                              <w:r>
                                <w:rPr>
                                  <w:rStyle w:val="Hyperlink"/>
                                  <w:sz w:val="20"/>
                                  <w:szCs w:val="20"/>
                                </w:rPr>
                                <w:t>Back to TOC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0C09B" id="Text Box 213" o:spid="_x0000_s1062" type="#_x0000_t202" style="position:absolute;left:0;text-align:left;margin-left:227.25pt;margin-top:104.7pt;width:1in;height:18.7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sRUmAIAAK4FAAAOAAAAZHJzL2Uyb0RvYy54bWysVN9PGzEMfp+0/yHK+7i2FBgnrqgDMU2q&#10;AK1MPKe5hEYkcZakvev+epzc9QeMF6a93DnxZzu2P/visjWarIUPCmxFh0cDSoTlUCv7VNFfDzdf&#10;vlISIrM102BFRTci0MvJ508XjSvFCJaga+EJOrGhbFxFlzG6sigCXwrDwhE4YVEpwRsW8eifitqz&#10;Br0bXYwGg9OiAV87D1yEgLfXnZJOsn8pBY93UgYRia4ovi3mr8/fRfoWkwtWPnnmlor3z2D/8ArD&#10;lMWgO1fXLDKy8uovV0ZxDwFkPOJgCpBScZFzwGyGgzfZzJfMiZwLFie4XZnC/3PLb9f3nqi6oqPh&#10;MSWWGWzSg2gj+QYtSXdYocaFEoFzh9DYogI7nbMNbgb8OSCkOMB0BgHRqSKt9Cb9MVeChtiEza7w&#10;KQ7Hy/PheDxADUfV6PhsfJ4bU+yNnQ/xuwBDklBRj33ND2DrWYgpPCu3kBQrgFb1jdI6HxKXxJX2&#10;ZM2QBToOU05o8QqlLWkqenp8MsiOLSTzDqdtciMym/pwKdsuwSzFjRYJo+1PIbGaOc93YjPOhd3F&#10;z+iEkhjqI4Y9fv+qjxh3eaBFjgw27oyNsuC7vr4uWf28LZns8H2/Q5d3KkFsF22m0Ti3Ll0toN4g&#10;YTx0Qxccv1HYvRkL8Z55nDJsOG6OeIcfqQGrD71EyRL8n/fuEx7Jj1pKGpzaiobfK+YFJfqHxbHI&#10;RMIxz4fxydkIY/hDzeJQY1fmCpASQ9xRjmcx4aPeitKDecQFM01RUcUsx9gVjVvxKna7BBcUF9Np&#10;BuFgOxZndu74dk4SNx/aR+ZdT+CIzL+F7Xyz8g2PO2xqkIXpKoJUmeT7qvYNwKWQmdwvsLR1Ds8Z&#10;tV+zkxcAAAD//wMAUEsDBBQABgAIAAAAIQA34a3p4QAAAAsBAAAPAAAAZHJzL2Rvd25yZXYueG1s&#10;TI/BTsMwDIbvSLxDZCQuE0s3tVNXmk4IMWk77EDhslvWmLaicaok28rbY07s6N+ffn8uN5MdxAV9&#10;6B0pWMwTEEiNMz21Cj4/tk85iBA1GT04QgU/GGBT3d+VujDuSu94qWMruIRCoRV0MY6FlKHp0Oow&#10;dyMS776ctzry6FtpvL5yuR3kMklW0uqe+EKnR3ztsPmuz1bBIRx3s6PfbWd1MHKPeHjbL6JSjw/T&#10;yzOIiFP8h+FPn9WhYqeTO5MJYlCQZmnGqIJlsk5BMJGtc05OnKSrHGRVytsfql8AAAD//wMAUEsB&#10;Ai0AFAAGAAgAAAAhALaDOJL+AAAA4QEAABMAAAAAAAAAAAAAAAAAAAAAAFtDb250ZW50X1R5cGVz&#10;XS54bWxQSwECLQAUAAYACAAAACEAOP0h/9YAAACUAQAACwAAAAAAAAAAAAAAAAAvAQAAX3JlbHMv&#10;LnJlbHNQSwECLQAUAAYACAAAACEADlrEVJgCAACuBQAADgAAAAAAAAAAAAAAAAAuAgAAZHJzL2Uy&#10;b0RvYy54bWxQSwECLQAUAAYACAAAACEAN+Gt6eEAAAALAQAADwAAAAAAAAAAAAAAAADyBAAAZHJz&#10;L2Rvd25yZXYueG1sUEsFBgAAAAAEAAQA8wAAAAAGAAAAAA==&#10;" o:allowoverlap="f" fillcolor="white [3201]" stroked="f" strokeweight=".5pt">
                <v:path arrowok="t"/>
                <v:textbox>
                  <w:txbxContent>
                    <w:p w:rsidR="0060782B" w:rsidRDefault="0060782B" w:rsidP="0060782B">
                      <w:pPr>
                        <w:ind w:right="60"/>
                        <w:rPr>
                          <w:rFonts w:asciiTheme="minorHAnsi" w:hAnsiTheme="minorHAnsi"/>
                          <w:sz w:val="20"/>
                          <w:szCs w:val="20"/>
                        </w:rPr>
                      </w:pPr>
                      <w:hyperlink w:anchor="TOC" w:history="1">
                        <w:r>
                          <w:rPr>
                            <w:rStyle w:val="Hyperlink"/>
                            <w:sz w:val="20"/>
                            <w:szCs w:val="20"/>
                          </w:rPr>
                          <w:t>Back to TOC</w:t>
                        </w:r>
                      </w:hyperlink>
                    </w:p>
                  </w:txbxContent>
                </v:textbox>
                <w10:wrap anchorx="margin" anchory="margin"/>
                <w10:anchorlock/>
              </v:shape>
            </w:pict>
          </mc:Fallback>
        </mc:AlternateContent>
      </w:r>
      <w:r w:rsidRPr="00A2277A">
        <w:rPr>
          <w:rFonts w:asciiTheme="minorHAnsi" w:hAnsiTheme="minorHAnsi"/>
        </w:rPr>
        <w:t>to reduce NO</w:t>
      </w:r>
      <w:r w:rsidRPr="00A2277A">
        <w:rPr>
          <w:rFonts w:asciiTheme="minorHAnsi" w:hAnsiTheme="minorHAnsi"/>
          <w:vertAlign w:val="subscript"/>
        </w:rPr>
        <w:t>x</w:t>
      </w:r>
      <w:r w:rsidRPr="00A2277A">
        <w:rPr>
          <w:rFonts w:asciiTheme="minorHAnsi" w:hAnsiTheme="minorHAnsi"/>
        </w:rPr>
        <w:t xml:space="preserve"> emissions by 40% and add on control, such as Selective Catalytic Reduction </w:t>
      </w:r>
      <w:r w:rsidRPr="00A2277A">
        <w:rPr>
          <w:rFonts w:asciiTheme="minorHAnsi" w:hAnsiTheme="minorHAnsi"/>
        </w:rPr>
        <w:lastRenderedPageBreak/>
        <w:t>(SCR) which is capable of achieving 90% efficiency, would be necessary to achieve the proposed limits.  Total NO</w:t>
      </w:r>
      <w:r w:rsidRPr="00A2277A">
        <w:rPr>
          <w:rFonts w:asciiTheme="minorHAnsi" w:hAnsiTheme="minorHAnsi"/>
          <w:vertAlign w:val="subscript"/>
        </w:rPr>
        <w:t>x</w:t>
      </w:r>
      <w:r w:rsidRPr="00A2277A">
        <w:rPr>
          <w:rFonts w:asciiTheme="minorHAnsi" w:hAnsiTheme="minorHAnsi"/>
        </w:rPr>
        <w:t xml:space="preserve"> from all units is 5000 (tons per 2007 O</w:t>
      </w:r>
      <w:r w:rsidRPr="00A2277A">
        <w:rPr>
          <w:rFonts w:asciiTheme="minorHAnsi" w:hAnsiTheme="minorHAnsi"/>
          <w:vertAlign w:val="subscript"/>
        </w:rPr>
        <w:t>3</w:t>
      </w:r>
      <w:r w:rsidRPr="00A2277A">
        <w:rPr>
          <w:rFonts w:asciiTheme="minorHAnsi" w:hAnsiTheme="minorHAnsi"/>
        </w:rPr>
        <w:t xml:space="preserve"> season) based on</w:t>
      </w:r>
      <w:r>
        <w:rPr>
          <w:rFonts w:asciiTheme="minorHAnsi" w:hAnsiTheme="minorHAnsi"/>
        </w:rPr>
        <w:t>:</w:t>
      </w:r>
    </w:p>
    <w:p w:rsidR="009B2F9B" w:rsidRPr="00A2277A" w:rsidRDefault="009B2F9B" w:rsidP="0081054E">
      <w:pPr>
        <w:pStyle w:val="ListParagraph"/>
        <w:numPr>
          <w:ilvl w:val="0"/>
          <w:numId w:val="14"/>
        </w:numPr>
        <w:spacing w:after="0" w:line="240" w:lineRule="auto"/>
        <w:ind w:left="900"/>
        <w:contextualSpacing w:val="0"/>
        <w:jc w:val="both"/>
      </w:pPr>
      <w:r w:rsidRPr="00A2277A">
        <w:t xml:space="preserve">Reduction = 5000 TPY x (90 - 40)/100 control efficiency = </w:t>
      </w:r>
      <w:r w:rsidRPr="00A2277A">
        <w:rPr>
          <w:b/>
          <w:bCs/>
        </w:rPr>
        <w:t>2500</w:t>
      </w:r>
      <w:r w:rsidRPr="00A2277A">
        <w:t xml:space="preserve"> in </w:t>
      </w:r>
      <w:r w:rsidRPr="00A2277A">
        <w:rPr>
          <w:u w:val="single"/>
        </w:rPr>
        <w:t>tons per O</w:t>
      </w:r>
      <w:r w:rsidRPr="00A2277A">
        <w:rPr>
          <w:u w:val="single"/>
          <w:vertAlign w:val="subscript"/>
        </w:rPr>
        <w:t>3</w:t>
      </w:r>
      <w:r w:rsidRPr="00A2277A">
        <w:rPr>
          <w:u w:val="single"/>
        </w:rPr>
        <w:t xml:space="preserve"> season</w:t>
      </w:r>
      <w:r w:rsidRPr="00A2277A">
        <w:t>.</w:t>
      </w:r>
    </w:p>
    <w:p w:rsidR="009B2F9B" w:rsidRPr="00A2277A" w:rsidRDefault="009B2F9B" w:rsidP="0081054E">
      <w:pPr>
        <w:spacing w:before="120" w:after="120" w:line="240" w:lineRule="auto"/>
        <w:ind w:left="360"/>
        <w:jc w:val="both"/>
        <w:rPr>
          <w:rFonts w:asciiTheme="minorHAnsi" w:hAnsiTheme="minorHAnsi"/>
        </w:rPr>
      </w:pPr>
      <w:r w:rsidRPr="00A2277A">
        <w:rPr>
          <w:rFonts w:asciiTheme="minorHAnsi" w:hAnsiTheme="minorHAnsi"/>
        </w:rPr>
        <w:t>Additional reductions may be obtained if turbines are shut down, over-controlled or replaced with state of the art turbines.  In addition, additional reductions may be obtained by units which do not currently have water injection installed on them, as was conservatively assumed.</w:t>
      </w:r>
    </w:p>
    <w:p w:rsidR="009B2F9B" w:rsidRPr="00A2277A" w:rsidRDefault="009B2F9B" w:rsidP="0081054E">
      <w:pPr>
        <w:spacing w:after="120" w:line="240" w:lineRule="auto"/>
        <w:ind w:left="360"/>
        <w:jc w:val="both"/>
        <w:rPr>
          <w:rFonts w:asciiTheme="minorHAnsi" w:hAnsiTheme="minorHAnsi"/>
        </w:rPr>
      </w:pPr>
      <w:r w:rsidRPr="00A2277A">
        <w:rPr>
          <w:rFonts w:asciiTheme="minorHAnsi" w:hAnsiTheme="minorHAnsi"/>
        </w:rPr>
        <w:t>If all current New Jersey HEDDCTs comply with these applicable emission limits, New Jersey specific emission reductions are expected to be at about 55 tons per day on a HEDD similar to July 26, 2005.</w:t>
      </w:r>
    </w:p>
    <w:p w:rsidR="009B2F9B" w:rsidRPr="00A2277A" w:rsidRDefault="0025362E" w:rsidP="0025362E">
      <w:pPr>
        <w:pStyle w:val="Heading3"/>
      </w:pPr>
      <w:bookmarkStart w:id="310" w:name="_Toc461020994"/>
      <w:bookmarkStart w:id="311" w:name="_Toc461025659"/>
      <w:bookmarkStart w:id="312" w:name="_Toc461025866"/>
      <w:bookmarkStart w:id="313" w:name="_Toc461027138"/>
      <w:r>
        <w:t>3</w:t>
      </w:r>
      <w:r w:rsidR="009B2F9B">
        <w:t>.3.4</w:t>
      </w:r>
      <w:r>
        <w:tab/>
      </w:r>
      <w:r w:rsidR="009B2F9B">
        <w:tab/>
      </w:r>
      <w:r w:rsidR="009B2F9B" w:rsidRPr="00A2277A">
        <w:t>Control Cost Estimates</w:t>
      </w:r>
      <w:bookmarkEnd w:id="310"/>
      <w:bookmarkEnd w:id="311"/>
      <w:bookmarkEnd w:id="312"/>
      <w:bookmarkEnd w:id="313"/>
    </w:p>
    <w:p w:rsidR="009B2F9B" w:rsidRPr="00A2277A" w:rsidRDefault="009B2F9B" w:rsidP="0081054E">
      <w:pPr>
        <w:autoSpaceDE w:val="0"/>
        <w:autoSpaceDN w:val="0"/>
        <w:adjustRightInd w:val="0"/>
        <w:spacing w:after="120" w:line="240" w:lineRule="auto"/>
        <w:ind w:left="360"/>
        <w:jc w:val="both"/>
        <w:rPr>
          <w:rFonts w:asciiTheme="minorHAnsi" w:hAnsiTheme="minorHAnsi"/>
        </w:rPr>
      </w:pPr>
      <w:r w:rsidRPr="00A2277A">
        <w:rPr>
          <w:rFonts w:asciiTheme="minorHAnsi" w:hAnsiTheme="minorHAnsi"/>
        </w:rPr>
        <w:t>Compliance with the proposed emission limits assumes that existing HEDD turbines will either install control or be replaced.  The cost effectiveness of installing water injection is approximately $44,000 per ton of “ozone day” NO</w:t>
      </w:r>
      <w:r w:rsidRPr="00A2277A">
        <w:rPr>
          <w:rFonts w:asciiTheme="minorHAnsi" w:hAnsiTheme="minorHAnsi"/>
          <w:vertAlign w:val="subscript"/>
        </w:rPr>
        <w:t>x</w:t>
      </w:r>
      <w:r w:rsidRPr="00A2277A">
        <w:rPr>
          <w:rFonts w:asciiTheme="minorHAnsi" w:hAnsiTheme="minorHAnsi"/>
        </w:rPr>
        <w:t xml:space="preserve"> emission reductions for a peaking turbine with low capacity factor.</w:t>
      </w:r>
      <w:r w:rsidRPr="00A2277A">
        <w:rPr>
          <w:rStyle w:val="FootnoteReference"/>
          <w:rFonts w:asciiTheme="minorHAnsi" w:hAnsiTheme="minorHAnsi"/>
        </w:rPr>
        <w:footnoteReference w:id="19"/>
      </w:r>
      <w:r w:rsidRPr="00A2277A">
        <w:rPr>
          <w:rFonts w:asciiTheme="minorHAnsi" w:hAnsiTheme="minorHAnsi"/>
        </w:rPr>
        <w:t xml:space="preserve">  This is equivalent to $4400 per ton for calendar year reductions.  Dividing by a factor of 10 approximates the cost effectiveness of continuous operation, assuming 36 days per year of ozone season operation.  SCR technology has advanced in recent years and is technically feasible for both low- and high-temperature turbine applications.  The cost effectiveness of SCR depends on the size and type of turbine, capacity factor, and baseline NO</w:t>
      </w:r>
      <w:r w:rsidRPr="00A2277A">
        <w:rPr>
          <w:rFonts w:asciiTheme="minorHAnsi" w:hAnsiTheme="minorHAnsi"/>
          <w:vertAlign w:val="subscript"/>
        </w:rPr>
        <w:t>x</w:t>
      </w:r>
      <w:r w:rsidRPr="00A2277A">
        <w:rPr>
          <w:rFonts w:asciiTheme="minorHAnsi" w:hAnsiTheme="minorHAnsi"/>
        </w:rPr>
        <w:t xml:space="preserve"> emissions in particular.  For example the range of retrofit costs of SCR for a 75 MW simple cycle turbine having a capacity factor of 0.45 can vary from $1,800 to $20,000.  The ozone season cost effectiveness for turbine retrofits with DLN range from $1,100 to $9,000 depending on the capacity factor and percent reduction.</w:t>
      </w:r>
      <w:r w:rsidRPr="00A2277A">
        <w:rPr>
          <w:rStyle w:val="FootnoteReference"/>
          <w:rFonts w:asciiTheme="minorHAnsi" w:hAnsiTheme="minorHAnsi"/>
        </w:rPr>
        <w:footnoteReference w:id="20"/>
      </w:r>
      <w:r w:rsidRPr="00A2277A">
        <w:rPr>
          <w:rFonts w:asciiTheme="minorHAnsi" w:hAnsiTheme="minorHAnsi"/>
        </w:rPr>
        <w:t xml:space="preserve">  The total</w:t>
      </w:r>
      <w:r w:rsidRPr="00A2277A">
        <w:rPr>
          <w:rFonts w:asciiTheme="minorHAnsi" w:hAnsiTheme="minorHAnsi"/>
          <w:u w:val="single"/>
        </w:rPr>
        <w:t xml:space="preserve"> </w:t>
      </w:r>
      <w:r w:rsidRPr="00A2277A">
        <w:rPr>
          <w:rFonts w:asciiTheme="minorHAnsi" w:hAnsiTheme="minorHAnsi"/>
        </w:rPr>
        <w:t>replacement cost, including maintenance and operation, for a simple cycle combustion turbine ranges from $0.5 to 0.8 million per MW.</w:t>
      </w:r>
      <w:r w:rsidRPr="00A2277A">
        <w:rPr>
          <w:rStyle w:val="FootnoteReference"/>
          <w:rFonts w:asciiTheme="minorHAnsi" w:hAnsiTheme="minorHAnsi"/>
        </w:rPr>
        <w:t xml:space="preserve"> 6</w:t>
      </w:r>
      <w:r w:rsidRPr="00A2277A">
        <w:rPr>
          <w:rFonts w:asciiTheme="minorHAnsi" w:hAnsiTheme="minorHAnsi"/>
        </w:rPr>
        <w:t xml:space="preserve">  </w:t>
      </w:r>
    </w:p>
    <w:p w:rsidR="009B2F9B" w:rsidRPr="00A2277A" w:rsidRDefault="0025362E" w:rsidP="0025362E">
      <w:pPr>
        <w:pStyle w:val="Heading3"/>
      </w:pPr>
      <w:bookmarkStart w:id="314" w:name="_Toc461020995"/>
      <w:bookmarkStart w:id="315" w:name="_Toc461025660"/>
      <w:bookmarkStart w:id="316" w:name="_Toc461025867"/>
      <w:bookmarkStart w:id="317" w:name="_Toc461027139"/>
      <w:r>
        <w:t>3</w:t>
      </w:r>
      <w:r w:rsidR="009B2F9B">
        <w:t>.3.5</w:t>
      </w:r>
      <w:r>
        <w:tab/>
      </w:r>
      <w:r w:rsidR="009B2F9B">
        <w:tab/>
      </w:r>
      <w:r w:rsidR="009B2F9B" w:rsidRPr="00A2277A">
        <w:t>Emissions Reduction Benefits for Other Pollutants</w:t>
      </w:r>
      <w:bookmarkEnd w:id="314"/>
      <w:bookmarkEnd w:id="315"/>
      <w:bookmarkEnd w:id="316"/>
      <w:bookmarkEnd w:id="317"/>
    </w:p>
    <w:p w:rsidR="009B2F9B" w:rsidRPr="00A2277A" w:rsidRDefault="009B2F9B" w:rsidP="0081054E">
      <w:pPr>
        <w:pStyle w:val="NoSpacing"/>
        <w:ind w:left="360"/>
        <w:jc w:val="both"/>
        <w:rPr>
          <w:rFonts w:asciiTheme="minorHAnsi" w:hAnsiTheme="minorHAnsi"/>
        </w:rPr>
      </w:pPr>
      <w:r w:rsidRPr="00A2277A">
        <w:rPr>
          <w:rFonts w:asciiTheme="minorHAnsi" w:hAnsiTheme="minorHAnsi"/>
        </w:rPr>
        <w:t>Not applicable to this measure.</w:t>
      </w:r>
    </w:p>
    <w:p w:rsidR="009B2F9B" w:rsidRPr="00A2277A" w:rsidRDefault="0025362E" w:rsidP="0025362E">
      <w:pPr>
        <w:pStyle w:val="Heading2"/>
      </w:pPr>
      <w:bookmarkStart w:id="318" w:name="_Toc461020996"/>
      <w:bookmarkStart w:id="319" w:name="_Toc461025661"/>
      <w:bookmarkStart w:id="320" w:name="_Toc461025868"/>
      <w:bookmarkStart w:id="321" w:name="_Toc461027140"/>
      <w:r>
        <w:t>3</w:t>
      </w:r>
      <w:r w:rsidR="009B2F9B">
        <w:t>.4</w:t>
      </w:r>
      <w:r w:rsidR="009B2F9B">
        <w:tab/>
      </w:r>
      <w:r w:rsidR="009B2F9B" w:rsidRPr="00A2277A">
        <w:t>Oil and Gas Boilers Serving Electric Generating Units (EGUs)</w:t>
      </w:r>
      <w:bookmarkEnd w:id="318"/>
      <w:bookmarkEnd w:id="319"/>
      <w:bookmarkEnd w:id="320"/>
      <w:bookmarkEnd w:id="321"/>
    </w:p>
    <w:p w:rsidR="009B2F9B" w:rsidRPr="00A2277A" w:rsidRDefault="009B2F9B" w:rsidP="0081054E">
      <w:pPr>
        <w:pStyle w:val="NoSpacing"/>
        <w:jc w:val="both"/>
        <w:rPr>
          <w:rFonts w:asciiTheme="minorHAnsi" w:hAnsiTheme="minorHAnsi"/>
        </w:rPr>
      </w:pPr>
      <w:r w:rsidRPr="00A2277A">
        <w:rPr>
          <w:rFonts w:asciiTheme="minorHAnsi" w:hAnsiTheme="minorHAnsi"/>
        </w:rPr>
        <w:t xml:space="preserve">The OTC model rule seeks to regulate </w:t>
      </w:r>
      <w:r w:rsidRPr="00BE5463">
        <w:rPr>
          <w:rFonts w:asciiTheme="minorHAnsi" w:hAnsiTheme="minorHAnsi"/>
        </w:rPr>
        <w:t>oil</w:t>
      </w:r>
      <w:r w:rsidRPr="00BE5463">
        <w:rPr>
          <w:rFonts w:asciiTheme="minorHAnsi" w:hAnsiTheme="minorHAnsi"/>
          <w:b/>
          <w:bCs/>
        </w:rPr>
        <w:t>-</w:t>
      </w:r>
      <w:r w:rsidRPr="00BE5463">
        <w:rPr>
          <w:rFonts w:asciiTheme="minorHAnsi" w:hAnsiTheme="minorHAnsi"/>
        </w:rPr>
        <w:t>fired and gas</w:t>
      </w:r>
      <w:r w:rsidRPr="00BE5463">
        <w:rPr>
          <w:rFonts w:asciiTheme="minorHAnsi" w:hAnsiTheme="minorHAnsi"/>
          <w:b/>
          <w:bCs/>
        </w:rPr>
        <w:t>-</w:t>
      </w:r>
      <w:r w:rsidRPr="00BE5463">
        <w:rPr>
          <w:rFonts w:asciiTheme="minorHAnsi" w:hAnsiTheme="minorHAnsi"/>
        </w:rPr>
        <w:t xml:space="preserve">fired </w:t>
      </w:r>
      <w:r w:rsidRPr="00A2277A">
        <w:rPr>
          <w:rFonts w:asciiTheme="minorHAnsi" w:hAnsiTheme="minorHAnsi"/>
        </w:rPr>
        <w:t>boilers that provide steam to an electric generating unit with a nameplate capacity of 25 MW or greater.  This includes a unit serving a cogeneration facility.  This model rule would not apply to any boiler that serves a HEDD unit if the NO</w:t>
      </w:r>
      <w:r w:rsidRPr="00A2277A">
        <w:rPr>
          <w:rFonts w:asciiTheme="minorHAnsi" w:hAnsiTheme="minorHAnsi" w:cs="Times New (W1)"/>
          <w:vertAlign w:val="subscript"/>
        </w:rPr>
        <w:t>x</w:t>
      </w:r>
      <w:r w:rsidRPr="00A2277A">
        <w:rPr>
          <w:rFonts w:asciiTheme="minorHAnsi" w:hAnsiTheme="minorHAnsi"/>
        </w:rPr>
        <w:t xml:space="preserve"> emissions from that boiler are already controlled by a HEDD rule or regulation which is effective during all periods of boiler operation on an annual basis.  The proposed model rule assumes use of low NO</w:t>
      </w:r>
      <w:r w:rsidRPr="00A2277A">
        <w:rPr>
          <w:rFonts w:asciiTheme="minorHAnsi" w:hAnsiTheme="minorHAnsi"/>
          <w:vertAlign w:val="subscript"/>
        </w:rPr>
        <w:t>x</w:t>
      </w:r>
      <w:r w:rsidRPr="00A2277A">
        <w:rPr>
          <w:rFonts w:asciiTheme="minorHAnsi" w:hAnsiTheme="minorHAnsi"/>
        </w:rPr>
        <w:t xml:space="preserve"> burners and/or a selective non-catalytic reduction system on existing oil and gas-fired boilers.  These control devices are used widely in industry throughout the United </w:t>
      </w:r>
      <w:r w:rsidR="0060782B">
        <w:rPr>
          <w:noProof/>
        </w:rPr>
        <mc:AlternateContent>
          <mc:Choice Requires="wps">
            <w:drawing>
              <wp:anchor distT="0" distB="0" distL="114300" distR="114300" simplePos="0" relativeHeight="251753472" behindDoc="0" locked="1" layoutInCell="1" allowOverlap="0" wp14:anchorId="37F0C09B" wp14:editId="2A19CA42">
                <wp:simplePos x="0" y="0"/>
                <wp:positionH relativeFrom="margin">
                  <wp:posOffset>2695575</wp:posOffset>
                </wp:positionH>
                <wp:positionV relativeFrom="bottomMargin">
                  <wp:posOffset>1012825</wp:posOffset>
                </wp:positionV>
                <wp:extent cx="914400" cy="237490"/>
                <wp:effectExtent l="0" t="0" r="0" b="0"/>
                <wp:wrapNone/>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237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782B" w:rsidRDefault="0060782B" w:rsidP="0060782B">
                            <w:pPr>
                              <w:ind w:right="60"/>
                              <w:rPr>
                                <w:rFonts w:asciiTheme="minorHAnsi" w:hAnsiTheme="minorHAnsi"/>
                                <w:sz w:val="20"/>
                                <w:szCs w:val="20"/>
                              </w:rPr>
                            </w:pPr>
                            <w:hyperlink w:anchor="TOC" w:history="1">
                              <w:r>
                                <w:rPr>
                                  <w:rStyle w:val="Hyperlink"/>
                                  <w:sz w:val="20"/>
                                  <w:szCs w:val="20"/>
                                </w:rPr>
                                <w:t>Back to TOC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0C09B" id="Text Box 214" o:spid="_x0000_s1063" type="#_x0000_t202" style="position:absolute;left:0;text-align:left;margin-left:212.25pt;margin-top:79.75pt;width:1in;height:18.7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sojlwIAAK4FAAAOAAAAZHJzL2Uyb0RvYy54bWysVN9PGzEMfp+0/yHK+7i2FBgnrqgDMU2q&#10;AK1MPKe5hEYkcZakvev+epzc9QeMF6a93DnxZzu2P/visjWarIUPCmxFh0cDSoTlUCv7VNFfDzdf&#10;vlISIrM102BFRTci0MvJ508XjSvFCJaga+EJOrGhbFxFlzG6sigCXwrDwhE4YVEpwRsW8eifitqz&#10;Br0bXYwGg9OiAV87D1yEgLfXnZJOsn8pBY93UgYRia4ovi3mr8/fRfoWkwtWPnnmlor3z2D/8ArD&#10;lMWgO1fXLDKy8uovV0ZxDwFkPOJgCpBScZFzwGyGgzfZzJfMiZwLFie4XZnC/3PLb9f3nqi6oqPh&#10;mBLLDDbpQbSRfIOWpDusUONCicC5Q2hsUYGdztkGNwP+HBBSHGA6g4DoVJFWepP+mCtBQ2zCZlf4&#10;FIfj5flwPB6ghqNqdHw2Ps+NKfbGzof4XYAhSaiox77mB7D1LMQUnpVbSIoVQKv6RmmdD4lL4kp7&#10;smbIAh2HKSe0eIXSljQVPT0+GWTHFpJ5h9M2uRGZTX24lG2XYJbiRouE0fankFjNnOc7sRnnwu7i&#10;Z3RCSQz1EcMev3/VR4y7PNAiRwYbd8ZGWfBdX1+XrH7elkx2+L7focs7lSC2izbTaJyh6WoB9QYJ&#10;46EbuuD4jcLuzViI98zjlGHDcXPEO/xIDVh96CVKluD/vHef8Eh+1FLS4NRWNPxeMS8o0T8sjkUm&#10;Eo55PoxPzkYYwx9qFocauzJXgJQY4o5yPIsJH/VWlB7MIy6YaYqKKmY5xq5o3IpXsdsluKC4mE4z&#10;CAfbsTizc8e3c5K4+dA+Mu96Akdk/i1s55uVb3jcYVODLExXEaTKJN9XtW8ALoXM5H6Bpa1zeM6o&#10;/ZqdvAAAAP//AwBQSwMEFAAGAAgAAAAhAIr3N5fgAAAACwEAAA8AAABkcnMvZG93bnJldi54bWxM&#10;jzFPwzAQhXck/oN1SCwVdVo1URPiVAhRqR06EFi6ufGRRMTnyHbb8O85Jrq9u/f07rtyM9lBXNCH&#10;3pGCxTwBgdQ401Or4PNj+7QGEaImowdHqOAHA2yq+7tSF8Zd6R0vdWwFl1AotIIuxrGQMjQdWh3m&#10;bkRi78t5qyOPvpXG6yuX20EukySTVvfEFzo94muHzXd9tgoO4bibHf1uO6uDkXvEw9t+EZV6fJhe&#10;nkFEnOJ/GP7wGR0qZjq5M5kgBgWr5SrlKBtpzoITabZmceJNnuUgq1Le/lD9AgAA//8DAFBLAQIt&#10;ABQABgAIAAAAIQC2gziS/gAAAOEBAAATAAAAAAAAAAAAAAAAAAAAAABbQ29udGVudF9UeXBlc10u&#10;eG1sUEsBAi0AFAAGAAgAAAAhADj9If/WAAAAlAEAAAsAAAAAAAAAAAAAAAAALwEAAF9yZWxzLy5y&#10;ZWxzUEsBAi0AFAAGAAgAAAAhABe6yiOXAgAArgUAAA4AAAAAAAAAAAAAAAAALgIAAGRycy9lMm9E&#10;b2MueG1sUEsBAi0AFAAGAAgAAAAhAIr3N5fgAAAACwEAAA8AAAAAAAAAAAAAAAAA8QQAAGRycy9k&#10;b3ducmV2LnhtbFBLBQYAAAAABAAEAPMAAAD+BQAAAAA=&#10;" o:allowoverlap="f" fillcolor="white [3201]" stroked="f" strokeweight=".5pt">
                <v:path arrowok="t"/>
                <v:textbox>
                  <w:txbxContent>
                    <w:p w:rsidR="0060782B" w:rsidRDefault="0060782B" w:rsidP="0060782B">
                      <w:pPr>
                        <w:ind w:right="60"/>
                        <w:rPr>
                          <w:rFonts w:asciiTheme="minorHAnsi" w:hAnsiTheme="minorHAnsi"/>
                          <w:sz w:val="20"/>
                          <w:szCs w:val="20"/>
                        </w:rPr>
                      </w:pPr>
                      <w:hyperlink w:anchor="TOC" w:history="1">
                        <w:r>
                          <w:rPr>
                            <w:rStyle w:val="Hyperlink"/>
                            <w:sz w:val="20"/>
                            <w:szCs w:val="20"/>
                          </w:rPr>
                          <w:t>Back to TOC</w:t>
                        </w:r>
                      </w:hyperlink>
                    </w:p>
                  </w:txbxContent>
                </v:textbox>
                <w10:wrap anchorx="margin" anchory="margin"/>
                <w10:anchorlock/>
              </v:shape>
            </w:pict>
          </mc:Fallback>
        </mc:AlternateContent>
      </w:r>
      <w:r w:rsidRPr="00A2277A">
        <w:rPr>
          <w:rFonts w:asciiTheme="minorHAnsi" w:hAnsiTheme="minorHAnsi"/>
        </w:rPr>
        <w:t xml:space="preserve">States and are reasonably available given their extensive use. On June 3, 2010, the OTC adopted </w:t>
      </w:r>
      <w:r w:rsidRPr="00A2277A">
        <w:rPr>
          <w:rFonts w:asciiTheme="minorHAnsi" w:hAnsiTheme="minorHAnsi"/>
        </w:rPr>
        <w:lastRenderedPageBreak/>
        <w:t>a Resolution, wherein member states agreed to pursue, as necessary and appropriate, state-specific rulemakings to update state rules in accordance with the 2009 OTC Oil and Gas Boilers Serving Electr</w:t>
      </w:r>
      <w:r>
        <w:rPr>
          <w:rFonts w:asciiTheme="minorHAnsi" w:hAnsiTheme="minorHAnsi"/>
        </w:rPr>
        <w:t>ic Generating Units Model Rule.</w:t>
      </w:r>
    </w:p>
    <w:p w:rsidR="009B2F9B" w:rsidRPr="00A2277A" w:rsidRDefault="0025362E" w:rsidP="0025362E">
      <w:pPr>
        <w:pStyle w:val="Heading3"/>
      </w:pPr>
      <w:bookmarkStart w:id="322" w:name="_Toc461020997"/>
      <w:bookmarkStart w:id="323" w:name="_Toc461025662"/>
      <w:bookmarkStart w:id="324" w:name="_Toc461025869"/>
      <w:bookmarkStart w:id="325" w:name="_Toc461027141"/>
      <w:r>
        <w:t>3</w:t>
      </w:r>
      <w:r w:rsidR="009B2F9B">
        <w:t>.4.1</w:t>
      </w:r>
      <w:r w:rsidR="009B2F9B">
        <w:tab/>
      </w:r>
      <w:r>
        <w:tab/>
      </w:r>
      <w:r w:rsidR="009B2F9B" w:rsidRPr="00A2277A">
        <w:t>Federal Standards</w:t>
      </w:r>
      <w:bookmarkEnd w:id="322"/>
      <w:bookmarkEnd w:id="323"/>
      <w:bookmarkEnd w:id="324"/>
      <w:bookmarkEnd w:id="325"/>
    </w:p>
    <w:p w:rsidR="009B2F9B" w:rsidRPr="00A2277A" w:rsidRDefault="009B2F9B" w:rsidP="0081054E">
      <w:pPr>
        <w:pStyle w:val="NoSpacing"/>
        <w:spacing w:after="120"/>
        <w:ind w:left="360"/>
        <w:jc w:val="both"/>
        <w:rPr>
          <w:rFonts w:asciiTheme="minorHAnsi" w:hAnsiTheme="minorHAnsi"/>
        </w:rPr>
      </w:pPr>
      <w:r w:rsidRPr="00A2277A">
        <w:rPr>
          <w:rFonts w:asciiTheme="minorHAnsi" w:hAnsiTheme="minorHAnsi"/>
        </w:rPr>
        <w:t xml:space="preserve">See </w:t>
      </w:r>
      <w:r w:rsidR="006633FD">
        <w:rPr>
          <w:rFonts w:asciiTheme="minorHAnsi" w:hAnsiTheme="minorHAnsi"/>
          <w:bCs/>
        </w:rPr>
        <w:t>Table 3-1</w:t>
      </w:r>
      <w:r w:rsidRPr="00A2277A">
        <w:rPr>
          <w:rFonts w:asciiTheme="minorHAnsi" w:hAnsiTheme="minorHAnsi"/>
          <w:bCs/>
        </w:rPr>
        <w:t>0</w:t>
      </w:r>
      <w:r w:rsidRPr="00A2277A">
        <w:rPr>
          <w:rFonts w:asciiTheme="minorHAnsi" w:hAnsiTheme="minorHAnsi"/>
        </w:rPr>
        <w:t xml:space="preserve"> below for applicable Federal Regulations.</w:t>
      </w:r>
    </w:p>
    <w:p w:rsidR="00462C12" w:rsidRPr="00462C12" w:rsidRDefault="00FD75BF" w:rsidP="00462C12">
      <w:pPr>
        <w:pStyle w:val="Caption"/>
        <w:keepNext/>
        <w:spacing w:before="120" w:after="120"/>
        <w:rPr>
          <w:rFonts w:asciiTheme="minorHAnsi" w:hAnsiTheme="minorHAnsi"/>
          <w:sz w:val="22"/>
          <w:szCs w:val="22"/>
        </w:rPr>
      </w:pPr>
      <w:bookmarkStart w:id="326" w:name="_Toc461106811"/>
      <w:r>
        <w:rPr>
          <w:rFonts w:asciiTheme="minorHAnsi" w:hAnsiTheme="minorHAnsi"/>
          <w:sz w:val="22"/>
          <w:szCs w:val="22"/>
        </w:rPr>
        <w:t>Table 3-10</w:t>
      </w:r>
      <w:r>
        <w:rPr>
          <w:rFonts w:asciiTheme="minorHAnsi" w:hAnsiTheme="minorHAnsi"/>
          <w:sz w:val="22"/>
          <w:szCs w:val="22"/>
        </w:rPr>
        <w:tab/>
      </w:r>
      <w:r w:rsidR="00462C12" w:rsidRPr="00462C12">
        <w:rPr>
          <w:rFonts w:asciiTheme="minorHAnsi" w:hAnsiTheme="minorHAnsi"/>
          <w:sz w:val="22"/>
          <w:szCs w:val="22"/>
        </w:rPr>
        <w:t>Federal Maximum Allowable Emission Limits of NOx for Boilers</w:t>
      </w:r>
      <w:bookmarkEnd w:id="326"/>
    </w:p>
    <w:tbl>
      <w:tblPr>
        <w:tblW w:w="964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3600"/>
        <w:gridCol w:w="3600"/>
      </w:tblGrid>
      <w:tr w:rsidR="009B2F9B" w:rsidRPr="00A2277A" w:rsidTr="001B265F">
        <w:trPr>
          <w:trHeight w:val="467"/>
        </w:trPr>
        <w:tc>
          <w:tcPr>
            <w:tcW w:w="2448" w:type="dxa"/>
            <w:vAlign w:val="center"/>
          </w:tcPr>
          <w:p w:rsidR="009B2F9B" w:rsidRPr="00A2277A" w:rsidRDefault="009B2F9B" w:rsidP="001B265F">
            <w:pPr>
              <w:spacing w:line="240" w:lineRule="auto"/>
              <w:rPr>
                <w:rFonts w:asciiTheme="minorHAnsi" w:hAnsiTheme="minorHAnsi"/>
                <w:b/>
                <w:bCs/>
              </w:rPr>
            </w:pPr>
            <w:r w:rsidRPr="00A2277A">
              <w:rPr>
                <w:rFonts w:asciiTheme="minorHAnsi" w:hAnsiTheme="minorHAnsi"/>
                <w:b/>
                <w:bCs/>
              </w:rPr>
              <w:t>Federal Regulations</w:t>
            </w:r>
          </w:p>
        </w:tc>
        <w:tc>
          <w:tcPr>
            <w:tcW w:w="3600" w:type="dxa"/>
            <w:vAlign w:val="center"/>
          </w:tcPr>
          <w:p w:rsidR="009B2F9B" w:rsidRPr="00A2277A" w:rsidRDefault="009B2F9B" w:rsidP="001B265F">
            <w:pPr>
              <w:spacing w:after="60" w:line="240" w:lineRule="auto"/>
              <w:rPr>
                <w:rFonts w:asciiTheme="minorHAnsi" w:hAnsiTheme="minorHAnsi"/>
                <w:b/>
                <w:bCs/>
              </w:rPr>
            </w:pPr>
            <w:r w:rsidRPr="00A2277A">
              <w:rPr>
                <w:rFonts w:asciiTheme="minorHAnsi" w:hAnsiTheme="minorHAnsi"/>
                <w:b/>
                <w:bCs/>
              </w:rPr>
              <w:t>40 CFR 60.40bNSPS Subpart Db (Effective After 6/19/84)</w:t>
            </w:r>
          </w:p>
          <w:p w:rsidR="009B2F9B" w:rsidRPr="00A2277A" w:rsidRDefault="009B2F9B" w:rsidP="001B265F">
            <w:pPr>
              <w:spacing w:after="0" w:line="240" w:lineRule="auto"/>
              <w:rPr>
                <w:rFonts w:asciiTheme="minorHAnsi" w:hAnsiTheme="minorHAnsi"/>
                <w:b/>
                <w:bCs/>
              </w:rPr>
            </w:pPr>
            <w:r w:rsidRPr="00A2277A">
              <w:rPr>
                <w:rFonts w:asciiTheme="minorHAnsi" w:hAnsiTheme="minorHAnsi"/>
                <w:b/>
                <w:bCs/>
              </w:rPr>
              <w:t xml:space="preserve">(Source: </w:t>
            </w:r>
            <w:r w:rsidRPr="00A2277A">
              <w:rPr>
                <w:rFonts w:asciiTheme="minorHAnsi" w:hAnsiTheme="minorHAnsi"/>
                <w:b/>
                <w:bCs/>
                <w:color w:val="000000"/>
              </w:rPr>
              <w:t>72 FR 32742, June 13, 2007)</w:t>
            </w:r>
          </w:p>
        </w:tc>
        <w:tc>
          <w:tcPr>
            <w:tcW w:w="3600" w:type="dxa"/>
            <w:vAlign w:val="center"/>
          </w:tcPr>
          <w:p w:rsidR="009B2F9B" w:rsidRPr="00A2277A" w:rsidRDefault="009B2F9B" w:rsidP="001B265F">
            <w:pPr>
              <w:spacing w:after="60" w:line="240" w:lineRule="auto"/>
              <w:rPr>
                <w:rFonts w:asciiTheme="minorHAnsi" w:hAnsiTheme="minorHAnsi"/>
                <w:b/>
                <w:bCs/>
              </w:rPr>
            </w:pPr>
            <w:r w:rsidRPr="00A2277A">
              <w:rPr>
                <w:rFonts w:asciiTheme="minorHAnsi" w:hAnsiTheme="minorHAnsi"/>
                <w:b/>
                <w:bCs/>
              </w:rPr>
              <w:t>40 CFR 60.40Da NSPS Subpart Da (Effective After 2/28/05)</w:t>
            </w:r>
          </w:p>
          <w:p w:rsidR="009B2F9B" w:rsidRPr="00A2277A" w:rsidRDefault="009B2F9B" w:rsidP="001B265F">
            <w:pPr>
              <w:spacing w:after="0" w:line="240" w:lineRule="auto"/>
              <w:rPr>
                <w:rFonts w:asciiTheme="minorHAnsi" w:hAnsiTheme="minorHAnsi"/>
                <w:b/>
                <w:bCs/>
              </w:rPr>
            </w:pPr>
            <w:r w:rsidRPr="00A2277A">
              <w:rPr>
                <w:rFonts w:asciiTheme="minorHAnsi" w:hAnsiTheme="minorHAnsi"/>
                <w:b/>
                <w:bCs/>
              </w:rPr>
              <w:t>(Source: 72 FR 32722, July 13, 2007)</w:t>
            </w:r>
          </w:p>
        </w:tc>
      </w:tr>
      <w:tr w:rsidR="009B2F9B" w:rsidRPr="00A2277A" w:rsidTr="001B265F">
        <w:trPr>
          <w:trHeight w:val="467"/>
        </w:trPr>
        <w:tc>
          <w:tcPr>
            <w:tcW w:w="2448" w:type="dxa"/>
            <w:vAlign w:val="center"/>
          </w:tcPr>
          <w:p w:rsidR="009B2F9B" w:rsidRPr="00A2277A" w:rsidRDefault="009B2F9B" w:rsidP="001B265F">
            <w:pPr>
              <w:spacing w:after="0" w:line="240" w:lineRule="auto"/>
              <w:jc w:val="center"/>
              <w:rPr>
                <w:rFonts w:asciiTheme="minorHAnsi" w:hAnsiTheme="minorHAnsi"/>
                <w:b/>
                <w:bCs/>
                <w:u w:val="single"/>
              </w:rPr>
            </w:pPr>
            <w:r w:rsidRPr="00A2277A">
              <w:rPr>
                <w:rFonts w:asciiTheme="minorHAnsi" w:hAnsiTheme="minorHAnsi"/>
                <w:b/>
                <w:bCs/>
                <w:u w:val="single"/>
              </w:rPr>
              <w:t>Source</w:t>
            </w:r>
          </w:p>
        </w:tc>
        <w:tc>
          <w:tcPr>
            <w:tcW w:w="3600" w:type="dxa"/>
            <w:vAlign w:val="center"/>
          </w:tcPr>
          <w:p w:rsidR="009B2F9B" w:rsidRPr="00A2277A" w:rsidRDefault="009B2F9B" w:rsidP="001B265F">
            <w:pPr>
              <w:spacing w:after="0" w:line="240" w:lineRule="auto"/>
              <w:rPr>
                <w:rFonts w:asciiTheme="minorHAnsi" w:hAnsiTheme="minorHAnsi"/>
                <w:b/>
                <w:bCs/>
              </w:rPr>
            </w:pPr>
            <w:r w:rsidRPr="00A2277A">
              <w:rPr>
                <w:rFonts w:asciiTheme="minorHAnsi" w:hAnsiTheme="minorHAnsi"/>
                <w:b/>
                <w:bCs/>
              </w:rPr>
              <w:t>Boilers (29MW – 73MW)</w:t>
            </w:r>
          </w:p>
        </w:tc>
        <w:tc>
          <w:tcPr>
            <w:tcW w:w="3600" w:type="dxa"/>
            <w:vAlign w:val="center"/>
          </w:tcPr>
          <w:p w:rsidR="009B2F9B" w:rsidRPr="00A2277A" w:rsidRDefault="009B2F9B" w:rsidP="001B265F">
            <w:pPr>
              <w:spacing w:after="0" w:line="240" w:lineRule="auto"/>
              <w:rPr>
                <w:rFonts w:asciiTheme="minorHAnsi" w:hAnsiTheme="minorHAnsi"/>
                <w:b/>
                <w:bCs/>
              </w:rPr>
            </w:pPr>
            <w:r w:rsidRPr="00A2277A">
              <w:rPr>
                <w:rFonts w:asciiTheme="minorHAnsi" w:hAnsiTheme="minorHAnsi"/>
                <w:b/>
                <w:bCs/>
              </w:rPr>
              <w:t>Boilers (&gt; 73MW)</w:t>
            </w:r>
          </w:p>
        </w:tc>
      </w:tr>
      <w:tr w:rsidR="009B2F9B" w:rsidRPr="00A2277A" w:rsidTr="001B265F">
        <w:trPr>
          <w:trHeight w:val="467"/>
        </w:trPr>
        <w:tc>
          <w:tcPr>
            <w:tcW w:w="2448" w:type="dxa"/>
            <w:vAlign w:val="center"/>
          </w:tcPr>
          <w:p w:rsidR="009B2F9B" w:rsidRPr="00A2277A" w:rsidRDefault="009B2F9B" w:rsidP="001B265F">
            <w:pPr>
              <w:spacing w:after="0" w:line="240" w:lineRule="auto"/>
              <w:jc w:val="center"/>
              <w:rPr>
                <w:rFonts w:asciiTheme="minorHAnsi" w:hAnsiTheme="minorHAnsi"/>
                <w:b/>
                <w:bCs/>
              </w:rPr>
            </w:pPr>
            <w:r w:rsidRPr="00A2277A">
              <w:rPr>
                <w:rFonts w:asciiTheme="minorHAnsi" w:hAnsiTheme="minorHAnsi"/>
                <w:b/>
                <w:bCs/>
                <w:u w:val="single"/>
              </w:rPr>
              <w:t>Pollutant</w:t>
            </w:r>
          </w:p>
        </w:tc>
        <w:tc>
          <w:tcPr>
            <w:tcW w:w="3600" w:type="dxa"/>
            <w:vAlign w:val="center"/>
          </w:tcPr>
          <w:p w:rsidR="009B2F9B" w:rsidRPr="00A2277A" w:rsidRDefault="009B2F9B" w:rsidP="001B265F">
            <w:pPr>
              <w:spacing w:after="0" w:line="240" w:lineRule="auto"/>
              <w:rPr>
                <w:rFonts w:asciiTheme="minorHAnsi" w:hAnsiTheme="minorHAnsi"/>
                <w:b/>
                <w:bCs/>
              </w:rPr>
            </w:pPr>
            <w:r w:rsidRPr="00A2277A">
              <w:rPr>
                <w:rFonts w:asciiTheme="minorHAnsi" w:hAnsiTheme="minorHAnsi"/>
                <w:b/>
                <w:bCs/>
              </w:rPr>
              <w:t>NO</w:t>
            </w:r>
            <w:r w:rsidRPr="00A2277A">
              <w:rPr>
                <w:rFonts w:asciiTheme="minorHAnsi" w:hAnsiTheme="minorHAnsi"/>
                <w:b/>
                <w:bCs/>
                <w:vertAlign w:val="subscript"/>
              </w:rPr>
              <w:t>x</w:t>
            </w:r>
          </w:p>
        </w:tc>
        <w:tc>
          <w:tcPr>
            <w:tcW w:w="3600" w:type="dxa"/>
            <w:vAlign w:val="center"/>
          </w:tcPr>
          <w:p w:rsidR="009B2F9B" w:rsidRPr="00A2277A" w:rsidRDefault="009B2F9B" w:rsidP="001B265F">
            <w:pPr>
              <w:spacing w:after="0" w:line="240" w:lineRule="auto"/>
              <w:rPr>
                <w:rFonts w:asciiTheme="minorHAnsi" w:hAnsiTheme="minorHAnsi"/>
                <w:b/>
                <w:bCs/>
                <w:color w:val="0000FF"/>
                <w:u w:val="single"/>
              </w:rPr>
            </w:pPr>
            <w:r w:rsidRPr="00A2277A">
              <w:rPr>
                <w:rFonts w:asciiTheme="minorHAnsi" w:hAnsiTheme="minorHAnsi"/>
                <w:b/>
                <w:bCs/>
              </w:rPr>
              <w:t>NO</w:t>
            </w:r>
            <w:r w:rsidRPr="00A2277A">
              <w:rPr>
                <w:rFonts w:asciiTheme="minorHAnsi" w:hAnsiTheme="minorHAnsi"/>
                <w:b/>
                <w:bCs/>
                <w:vertAlign w:val="subscript"/>
              </w:rPr>
              <w:t>x</w:t>
            </w:r>
          </w:p>
        </w:tc>
      </w:tr>
      <w:tr w:rsidR="009B2F9B" w:rsidRPr="00A2277A" w:rsidTr="001B265F">
        <w:trPr>
          <w:trHeight w:val="2330"/>
        </w:trPr>
        <w:tc>
          <w:tcPr>
            <w:tcW w:w="2448" w:type="dxa"/>
            <w:vAlign w:val="center"/>
          </w:tcPr>
          <w:p w:rsidR="009B2F9B" w:rsidRPr="00A2277A" w:rsidRDefault="009B2F9B" w:rsidP="001B265F">
            <w:pPr>
              <w:pStyle w:val="Heading1"/>
              <w:jc w:val="center"/>
            </w:pPr>
            <w:bookmarkStart w:id="327" w:name="_Toc461020998"/>
            <w:bookmarkStart w:id="328" w:name="_Toc461025663"/>
            <w:bookmarkStart w:id="329" w:name="_Toc461025870"/>
            <w:bookmarkStart w:id="330" w:name="_Toc461027142"/>
            <w:r w:rsidRPr="00A2277A">
              <w:t>Performance Standards</w:t>
            </w:r>
            <w:r w:rsidRPr="00A2277A">
              <w:rPr>
                <w:rStyle w:val="NoSpacingChar"/>
                <w:sz w:val="24"/>
                <w:u w:val="single"/>
                <w:vertAlign w:val="superscript"/>
              </w:rPr>
              <w:t>1</w:t>
            </w:r>
            <w:bookmarkEnd w:id="327"/>
            <w:bookmarkEnd w:id="328"/>
            <w:bookmarkEnd w:id="329"/>
            <w:bookmarkEnd w:id="330"/>
          </w:p>
        </w:tc>
        <w:tc>
          <w:tcPr>
            <w:tcW w:w="3600" w:type="dxa"/>
            <w:vAlign w:val="center"/>
          </w:tcPr>
          <w:p w:rsidR="009B2F9B" w:rsidRPr="00A2277A" w:rsidRDefault="009B2F9B" w:rsidP="001B265F">
            <w:pPr>
              <w:pStyle w:val="BodyText"/>
              <w:rPr>
                <w:rFonts w:asciiTheme="minorHAnsi" w:hAnsiTheme="minorHAnsi"/>
                <w:b/>
                <w:bCs/>
              </w:rPr>
            </w:pPr>
            <w:r w:rsidRPr="00A2277A">
              <w:rPr>
                <w:rFonts w:asciiTheme="minorHAnsi" w:hAnsiTheme="minorHAnsi"/>
                <w:b/>
                <w:bCs/>
              </w:rPr>
              <w:t>Boilers with a heat release rate of 730,000 J/sec-m</w:t>
            </w:r>
            <w:r w:rsidRPr="00A2277A">
              <w:rPr>
                <w:rFonts w:asciiTheme="minorHAnsi" w:hAnsiTheme="minorHAnsi" w:cs="Times New (W1)"/>
                <w:b/>
                <w:bCs/>
                <w:vertAlign w:val="superscript"/>
              </w:rPr>
              <w:t xml:space="preserve">3 </w:t>
            </w:r>
            <w:r w:rsidRPr="00A2277A">
              <w:rPr>
                <w:rFonts w:asciiTheme="minorHAnsi" w:hAnsiTheme="minorHAnsi"/>
                <w:b/>
                <w:bCs/>
              </w:rPr>
              <w:t>or less:</w:t>
            </w:r>
          </w:p>
          <w:p w:rsidR="009B2F9B" w:rsidRPr="00A2277A" w:rsidRDefault="009B2F9B" w:rsidP="001B265F">
            <w:pPr>
              <w:pStyle w:val="BodyText"/>
              <w:rPr>
                <w:rFonts w:asciiTheme="minorHAnsi" w:hAnsiTheme="minorHAnsi"/>
              </w:rPr>
            </w:pPr>
            <w:r w:rsidRPr="00A2277A">
              <w:rPr>
                <w:rFonts w:asciiTheme="minorHAnsi" w:hAnsiTheme="minorHAnsi"/>
              </w:rPr>
              <w:t>0.10 lb/MMBtu</w:t>
            </w:r>
          </w:p>
          <w:p w:rsidR="009B2F9B" w:rsidRPr="00A2277A" w:rsidRDefault="009B2F9B" w:rsidP="001B265F">
            <w:pPr>
              <w:pStyle w:val="BodyText"/>
              <w:rPr>
                <w:rFonts w:asciiTheme="minorHAnsi" w:hAnsiTheme="minorHAnsi"/>
                <w:b/>
                <w:bCs/>
              </w:rPr>
            </w:pPr>
          </w:p>
          <w:p w:rsidR="009B2F9B" w:rsidRPr="00A2277A" w:rsidRDefault="009B2F9B" w:rsidP="001B265F">
            <w:pPr>
              <w:pStyle w:val="BodyText"/>
              <w:rPr>
                <w:rFonts w:asciiTheme="minorHAnsi" w:hAnsiTheme="minorHAnsi"/>
                <w:b/>
                <w:bCs/>
              </w:rPr>
            </w:pPr>
            <w:r w:rsidRPr="00A2277A">
              <w:rPr>
                <w:rFonts w:asciiTheme="minorHAnsi" w:hAnsiTheme="minorHAnsi"/>
                <w:b/>
                <w:bCs/>
              </w:rPr>
              <w:t>Boilers with a heat release rate greater than 730,000 J/sec-m</w:t>
            </w:r>
            <w:r w:rsidRPr="00A2277A">
              <w:rPr>
                <w:rFonts w:asciiTheme="minorHAnsi" w:hAnsiTheme="minorHAnsi" w:cs="Times New (W1)"/>
                <w:b/>
                <w:bCs/>
                <w:vertAlign w:val="superscript"/>
              </w:rPr>
              <w:t>3</w:t>
            </w:r>
            <w:r w:rsidRPr="00A2277A">
              <w:rPr>
                <w:rFonts w:asciiTheme="minorHAnsi" w:hAnsiTheme="minorHAnsi"/>
                <w:b/>
                <w:bCs/>
              </w:rPr>
              <w:t>:</w:t>
            </w:r>
          </w:p>
          <w:p w:rsidR="009B2F9B" w:rsidRPr="00A2277A" w:rsidRDefault="009B2F9B" w:rsidP="001B265F">
            <w:pPr>
              <w:pStyle w:val="BodyText"/>
              <w:rPr>
                <w:rFonts w:asciiTheme="minorHAnsi" w:hAnsiTheme="minorHAnsi"/>
              </w:rPr>
            </w:pPr>
            <w:r w:rsidRPr="00A2277A">
              <w:rPr>
                <w:rFonts w:asciiTheme="minorHAnsi" w:hAnsiTheme="minorHAnsi"/>
              </w:rPr>
              <w:t>0.20 lb/MMBtu</w:t>
            </w:r>
          </w:p>
          <w:p w:rsidR="009B2F9B" w:rsidRPr="00A2277A" w:rsidRDefault="009B2F9B" w:rsidP="001B265F">
            <w:pPr>
              <w:pStyle w:val="BodyText"/>
              <w:rPr>
                <w:rFonts w:asciiTheme="minorHAnsi" w:hAnsiTheme="minorHAnsi"/>
                <w:b/>
                <w:bCs/>
              </w:rPr>
            </w:pPr>
          </w:p>
          <w:p w:rsidR="009B2F9B" w:rsidRPr="00A2277A" w:rsidRDefault="009B2F9B" w:rsidP="001B265F">
            <w:pPr>
              <w:pStyle w:val="BodyText"/>
              <w:rPr>
                <w:rFonts w:asciiTheme="minorHAnsi" w:hAnsiTheme="minorHAnsi"/>
                <w:b/>
                <w:bCs/>
              </w:rPr>
            </w:pPr>
          </w:p>
          <w:p w:rsidR="009B2F9B" w:rsidRPr="00A2277A" w:rsidRDefault="009B2F9B" w:rsidP="001B265F">
            <w:pPr>
              <w:pStyle w:val="BodyText"/>
              <w:rPr>
                <w:rFonts w:asciiTheme="minorHAnsi" w:hAnsiTheme="minorHAnsi"/>
                <w:b/>
                <w:bCs/>
              </w:rPr>
            </w:pPr>
          </w:p>
        </w:tc>
        <w:tc>
          <w:tcPr>
            <w:tcW w:w="3600" w:type="dxa"/>
            <w:vAlign w:val="center"/>
          </w:tcPr>
          <w:p w:rsidR="009B2F9B" w:rsidRPr="00A2277A" w:rsidRDefault="009B2F9B" w:rsidP="001B265F">
            <w:pPr>
              <w:pStyle w:val="BodyText"/>
              <w:rPr>
                <w:rFonts w:asciiTheme="minorHAnsi" w:hAnsiTheme="minorHAnsi"/>
                <w:b/>
                <w:bCs/>
              </w:rPr>
            </w:pPr>
            <w:r w:rsidRPr="00A2277A">
              <w:rPr>
                <w:rFonts w:asciiTheme="minorHAnsi" w:hAnsiTheme="minorHAnsi"/>
                <w:b/>
                <w:bCs/>
              </w:rPr>
              <w:t>Construction:</w:t>
            </w:r>
          </w:p>
          <w:p w:rsidR="009B2F9B" w:rsidRPr="00A2277A" w:rsidRDefault="009B2F9B" w:rsidP="001B265F">
            <w:pPr>
              <w:pStyle w:val="BodyText"/>
              <w:rPr>
                <w:rFonts w:asciiTheme="minorHAnsi" w:hAnsiTheme="minorHAnsi"/>
              </w:rPr>
            </w:pPr>
            <w:r w:rsidRPr="00A2277A">
              <w:rPr>
                <w:rFonts w:asciiTheme="minorHAnsi" w:hAnsiTheme="minorHAnsi"/>
              </w:rPr>
              <w:t>1.0 lb/MWhr</w:t>
            </w:r>
          </w:p>
          <w:p w:rsidR="009B2F9B" w:rsidRPr="00A2277A" w:rsidRDefault="009B2F9B" w:rsidP="001B265F">
            <w:pPr>
              <w:pStyle w:val="BodyText"/>
              <w:rPr>
                <w:rFonts w:asciiTheme="minorHAnsi" w:hAnsiTheme="minorHAnsi"/>
                <w:b/>
                <w:bCs/>
              </w:rPr>
            </w:pPr>
            <w:r w:rsidRPr="00A2277A">
              <w:rPr>
                <w:rFonts w:asciiTheme="minorHAnsi" w:hAnsiTheme="minorHAnsi"/>
                <w:b/>
                <w:bCs/>
              </w:rPr>
              <w:t>Reconstruction:</w:t>
            </w:r>
          </w:p>
          <w:p w:rsidR="009B2F9B" w:rsidRPr="00A2277A" w:rsidRDefault="009B2F9B" w:rsidP="001B265F">
            <w:pPr>
              <w:pStyle w:val="BodyText"/>
              <w:rPr>
                <w:rFonts w:asciiTheme="minorHAnsi" w:hAnsiTheme="minorHAnsi"/>
              </w:rPr>
            </w:pPr>
            <w:r w:rsidRPr="00A2277A">
              <w:rPr>
                <w:rFonts w:asciiTheme="minorHAnsi" w:hAnsiTheme="minorHAnsi"/>
              </w:rPr>
              <w:t>1.0 lb/MWhr</w:t>
            </w:r>
          </w:p>
          <w:p w:rsidR="009B2F9B" w:rsidRPr="00A2277A" w:rsidRDefault="009B2F9B" w:rsidP="001B265F">
            <w:pPr>
              <w:pStyle w:val="BodyText"/>
              <w:rPr>
                <w:rFonts w:asciiTheme="minorHAnsi" w:hAnsiTheme="minorHAnsi"/>
              </w:rPr>
            </w:pPr>
            <w:r w:rsidRPr="00A2277A">
              <w:rPr>
                <w:rFonts w:asciiTheme="minorHAnsi" w:hAnsiTheme="minorHAnsi"/>
              </w:rPr>
              <w:t>or</w:t>
            </w:r>
          </w:p>
          <w:p w:rsidR="009B2F9B" w:rsidRPr="00A2277A" w:rsidRDefault="009B2F9B" w:rsidP="001B265F">
            <w:pPr>
              <w:pStyle w:val="BodyText"/>
              <w:rPr>
                <w:rFonts w:asciiTheme="minorHAnsi" w:hAnsiTheme="minorHAnsi"/>
              </w:rPr>
            </w:pPr>
            <w:r w:rsidRPr="00A2277A">
              <w:rPr>
                <w:rFonts w:asciiTheme="minorHAnsi" w:hAnsiTheme="minorHAnsi"/>
              </w:rPr>
              <w:t>0.11 lb/MMBtu</w:t>
            </w:r>
          </w:p>
          <w:p w:rsidR="009B2F9B" w:rsidRPr="00A2277A" w:rsidRDefault="009B2F9B" w:rsidP="001B265F">
            <w:pPr>
              <w:pStyle w:val="BodyText"/>
              <w:rPr>
                <w:rFonts w:asciiTheme="minorHAnsi" w:hAnsiTheme="minorHAnsi"/>
                <w:b/>
                <w:bCs/>
              </w:rPr>
            </w:pPr>
            <w:r w:rsidRPr="00A2277A">
              <w:rPr>
                <w:rFonts w:asciiTheme="minorHAnsi" w:hAnsiTheme="minorHAnsi"/>
                <w:b/>
                <w:bCs/>
              </w:rPr>
              <w:t>Modification:</w:t>
            </w:r>
          </w:p>
          <w:p w:rsidR="009B2F9B" w:rsidRPr="00A2277A" w:rsidRDefault="009B2F9B" w:rsidP="001B265F">
            <w:pPr>
              <w:pStyle w:val="BodyText"/>
              <w:rPr>
                <w:rFonts w:asciiTheme="minorHAnsi" w:hAnsiTheme="minorHAnsi"/>
              </w:rPr>
            </w:pPr>
            <w:r w:rsidRPr="00A2277A">
              <w:rPr>
                <w:rFonts w:asciiTheme="minorHAnsi" w:hAnsiTheme="minorHAnsi"/>
              </w:rPr>
              <w:t>1.4 lb/MWhr</w:t>
            </w:r>
          </w:p>
          <w:p w:rsidR="009B2F9B" w:rsidRPr="00A2277A" w:rsidRDefault="009B2F9B" w:rsidP="001B265F">
            <w:pPr>
              <w:pStyle w:val="BodyText"/>
              <w:rPr>
                <w:rFonts w:asciiTheme="minorHAnsi" w:hAnsiTheme="minorHAnsi"/>
              </w:rPr>
            </w:pPr>
            <w:r w:rsidRPr="00A2277A">
              <w:rPr>
                <w:rFonts w:asciiTheme="minorHAnsi" w:hAnsiTheme="minorHAnsi"/>
              </w:rPr>
              <w:t>or</w:t>
            </w:r>
          </w:p>
          <w:p w:rsidR="009B2F9B" w:rsidRPr="00A2277A" w:rsidRDefault="009B2F9B" w:rsidP="001B265F">
            <w:pPr>
              <w:pStyle w:val="BodyText"/>
              <w:rPr>
                <w:rFonts w:asciiTheme="minorHAnsi" w:hAnsiTheme="minorHAnsi"/>
              </w:rPr>
            </w:pPr>
            <w:r w:rsidRPr="00A2277A">
              <w:rPr>
                <w:rFonts w:asciiTheme="minorHAnsi" w:hAnsiTheme="minorHAnsi"/>
              </w:rPr>
              <w:t>0.15 lb/MMBtu</w:t>
            </w:r>
          </w:p>
        </w:tc>
      </w:tr>
    </w:tbl>
    <w:p w:rsidR="009B2F9B" w:rsidRDefault="009B2F9B" w:rsidP="001B265F">
      <w:pPr>
        <w:pStyle w:val="NoSpacing"/>
        <w:spacing w:before="120" w:after="200"/>
        <w:rPr>
          <w:rFonts w:asciiTheme="minorHAnsi" w:hAnsiTheme="minorHAnsi"/>
          <w:sz w:val="22"/>
          <w:szCs w:val="22"/>
        </w:rPr>
      </w:pPr>
      <w:r w:rsidRPr="00831656">
        <w:rPr>
          <w:rFonts w:asciiTheme="minorHAnsi" w:hAnsiTheme="minorHAnsi"/>
          <w:sz w:val="22"/>
          <w:szCs w:val="22"/>
          <w:vertAlign w:val="superscript"/>
        </w:rPr>
        <w:t>1</w:t>
      </w:r>
      <w:r w:rsidRPr="00831656">
        <w:rPr>
          <w:rFonts w:asciiTheme="minorHAnsi" w:hAnsiTheme="minorHAnsi"/>
          <w:sz w:val="22"/>
          <w:szCs w:val="22"/>
        </w:rPr>
        <w:t xml:space="preserve"> Compliance based on 30 day rolling average</w:t>
      </w:r>
    </w:p>
    <w:p w:rsidR="009B2F9B" w:rsidRPr="00A2277A" w:rsidRDefault="0025362E" w:rsidP="0025362E">
      <w:pPr>
        <w:pStyle w:val="Heading3"/>
      </w:pPr>
      <w:bookmarkStart w:id="331" w:name="_Toc461020999"/>
      <w:bookmarkStart w:id="332" w:name="_Toc461025664"/>
      <w:bookmarkStart w:id="333" w:name="_Toc461025871"/>
      <w:bookmarkStart w:id="334" w:name="_Toc461027143"/>
      <w:r>
        <w:t>3</w:t>
      </w:r>
      <w:r w:rsidR="009B2F9B">
        <w:t>.4.2</w:t>
      </w:r>
      <w:r w:rsidR="009B2F9B">
        <w:tab/>
      </w:r>
      <w:r>
        <w:tab/>
      </w:r>
      <w:r w:rsidR="009B2F9B" w:rsidRPr="00A2277A">
        <w:t>The OTC Measure</w:t>
      </w:r>
      <w:bookmarkEnd w:id="331"/>
      <w:bookmarkEnd w:id="332"/>
      <w:bookmarkEnd w:id="333"/>
      <w:bookmarkEnd w:id="334"/>
    </w:p>
    <w:p w:rsidR="009B2F9B" w:rsidRPr="00EF5EA2" w:rsidRDefault="00EF5EA2" w:rsidP="0025362E">
      <w:pPr>
        <w:pStyle w:val="Heading4"/>
        <w:ind w:left="900"/>
      </w:pPr>
      <w:bookmarkStart w:id="335" w:name="_Toc461021000"/>
      <w:bookmarkStart w:id="336" w:name="_Toc461025665"/>
      <w:bookmarkStart w:id="337" w:name="_Toc461027144"/>
      <w:r w:rsidRPr="00EF5EA2">
        <w:t>4.4.2.1</w:t>
      </w:r>
      <w:r w:rsidRPr="00EF5EA2">
        <w:tab/>
      </w:r>
      <w:r w:rsidR="009B2F9B" w:rsidRPr="00EF5EA2">
        <w:t>Performance Standards</w:t>
      </w:r>
      <w:bookmarkEnd w:id="335"/>
      <w:bookmarkEnd w:id="336"/>
      <w:bookmarkEnd w:id="337"/>
    </w:p>
    <w:p w:rsidR="009B2F9B" w:rsidRPr="00EF5EA2" w:rsidRDefault="009B2F9B" w:rsidP="0081054E">
      <w:pPr>
        <w:pStyle w:val="NoSpacing"/>
        <w:spacing w:after="120"/>
        <w:ind w:left="907"/>
        <w:jc w:val="both"/>
        <w:rPr>
          <w:rStyle w:val="NoSpacingChar"/>
          <w:rFonts w:asciiTheme="minorHAnsi" w:hAnsiTheme="minorHAnsi"/>
        </w:rPr>
      </w:pPr>
      <w:r w:rsidRPr="00EF5EA2">
        <w:rPr>
          <w:rFonts w:asciiTheme="minorHAnsi" w:hAnsiTheme="minorHAnsi"/>
        </w:rPr>
        <w:t>The proposed NO</w:t>
      </w:r>
      <w:r w:rsidRPr="00EF5EA2">
        <w:rPr>
          <w:rFonts w:asciiTheme="minorHAnsi" w:hAnsiTheme="minorHAnsi"/>
          <w:vertAlign w:val="subscript"/>
        </w:rPr>
        <w:t>x</w:t>
      </w:r>
      <w:r w:rsidRPr="00EF5EA2">
        <w:rPr>
          <w:rFonts w:asciiTheme="minorHAnsi" w:hAnsiTheme="minorHAnsi"/>
        </w:rPr>
        <w:t xml:space="preserve"> rates identified in </w:t>
      </w:r>
      <w:r w:rsidR="006633FD">
        <w:rPr>
          <w:rFonts w:asciiTheme="minorHAnsi" w:hAnsiTheme="minorHAnsi"/>
          <w:bCs/>
        </w:rPr>
        <w:t>Table 3-1</w:t>
      </w:r>
      <w:r w:rsidRPr="00EF5EA2">
        <w:rPr>
          <w:rFonts w:asciiTheme="minorHAnsi" w:hAnsiTheme="minorHAnsi"/>
          <w:bCs/>
        </w:rPr>
        <w:t>1</w:t>
      </w:r>
      <w:r w:rsidRPr="00EF5EA2">
        <w:rPr>
          <w:rFonts w:asciiTheme="minorHAnsi" w:hAnsiTheme="minorHAnsi"/>
        </w:rPr>
        <w:t xml:space="preserve"> below can be achieved by installing low NO</w:t>
      </w:r>
      <w:r w:rsidRPr="00EF5EA2">
        <w:rPr>
          <w:rFonts w:asciiTheme="minorHAnsi" w:hAnsiTheme="minorHAnsi"/>
          <w:vertAlign w:val="subscript"/>
        </w:rPr>
        <w:t>x</w:t>
      </w:r>
      <w:r w:rsidRPr="00EF5EA2">
        <w:rPr>
          <w:rFonts w:asciiTheme="minorHAnsi" w:hAnsiTheme="minorHAnsi"/>
        </w:rPr>
        <w:t xml:space="preserve"> burners and/or a selective non-catalytic reduction system on existing oil and gas-</w:t>
      </w:r>
      <w:r w:rsidR="0060782B">
        <w:rPr>
          <w:noProof/>
        </w:rPr>
        <mc:AlternateContent>
          <mc:Choice Requires="wps">
            <w:drawing>
              <wp:anchor distT="0" distB="0" distL="114300" distR="114300" simplePos="0" relativeHeight="251755520" behindDoc="0" locked="1" layoutInCell="1" allowOverlap="0" wp14:anchorId="37F0C09B" wp14:editId="2A19CA42">
                <wp:simplePos x="0" y="0"/>
                <wp:positionH relativeFrom="margin">
                  <wp:posOffset>2876550</wp:posOffset>
                </wp:positionH>
                <wp:positionV relativeFrom="bottomMargin">
                  <wp:posOffset>194945</wp:posOffset>
                </wp:positionV>
                <wp:extent cx="914400" cy="237490"/>
                <wp:effectExtent l="0" t="0" r="0" b="0"/>
                <wp:wrapNone/>
                <wp:docPr id="21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237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782B" w:rsidRDefault="0060782B" w:rsidP="0060782B">
                            <w:pPr>
                              <w:ind w:right="60"/>
                              <w:rPr>
                                <w:rFonts w:asciiTheme="minorHAnsi" w:hAnsiTheme="minorHAnsi"/>
                                <w:sz w:val="20"/>
                                <w:szCs w:val="20"/>
                              </w:rPr>
                            </w:pPr>
                            <w:hyperlink w:anchor="TOC" w:history="1">
                              <w:r>
                                <w:rPr>
                                  <w:rStyle w:val="Hyperlink"/>
                                  <w:sz w:val="20"/>
                                  <w:szCs w:val="20"/>
                                </w:rPr>
                                <w:t>Back to TOC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0C09B" id="Text Box 215" o:spid="_x0000_s1064" type="#_x0000_t202" style="position:absolute;left:0;text-align:left;margin-left:226.5pt;margin-top:15.35pt;width:1in;height:18.7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fZzmQIAAK4FAAAOAAAAZHJzL2Uyb0RvYy54bWysVFFPGzEMfp+0/xDlfVxbCowTV9SBmCZV&#10;gAYTz2kuoRFJnCVp77pfj5O7K4XxwrSXOyf+bMf2Z5+dt0aTjfBBga3o+GBEibAcamUfK/rr/urL&#10;V0pCZLZmGqyo6FYEej77/OmscaWYwAp0LTxBJzaUjavoKkZXFkXgK2FYOAAnLColeMMiHv1jUXvW&#10;oHeji8lodFw04GvngYsQ8PayU9JZ9i+l4PFGyiAi0RXFt8X89fm7TN9idsbKR8/cSvH+GewfXmGY&#10;shh05+qSRUbWXv3lyijuIYCMBxxMAVIqLnIOmM149CabuxVzIueCxQluV6bw/9zy682tJ6qu6GR8&#10;RIllBpt0L9pIvkFL0h1WqHGhROCdQ2hsUYGdztkGtwD+FBBS7GE6g4DoVJFWepP+mCtBQ2zCdlf4&#10;FIfj5el4Oh2hhqNqcngyPc2NKV6MnQ/xuwBDklBRj33ND2CbRYgpPCsHSIoVQKv6SmmdD4lL4kJ7&#10;smHIAh3HKSe0eIXSljQVPT48GmXHFpJ5h9M2uRGZTX24lG2XYJbiVouE0fankFjNnOc7sRnnwu7i&#10;Z3RCSQz1EcMe//Kqjxh3eaBFjgw27oyNsuC7vr4uWf00lEx2+L7focs7lSC2yzbTaDoZGLOEeouE&#10;8dANXXD8SmH3FizEW+ZxyrDhuDniDX6kBqw+9BIlK/B/3rtPeCQ/ailpcGorGn6vmReU6B8WxyIT&#10;Ccc8H6ZHJxOM4fc1y32NXZsLQEqMcUc5nsWEj3oQpQfzgAtmnqKiilmOsSsaB/EidrsEFxQX83kG&#10;4WA7Fhf2zvFhThI379sH5l1P4IjMv4Zhvln5hscdNjXIwnwdQapM8lTorqp9A3ApZCb3Cyxtnf1z&#10;Rr2s2dkzAAAA//8DAFBLAwQUAAYACAAAACEAOqMPruAAAAAJAQAADwAAAGRycy9kb3ducmV2Lnht&#10;bEyPvU7DQBCEeyTe4bRINBE5m5AfjNcRQkRKihQYmnQX32Jb+PYs3yUxb89SQTk7o9lv8vXoOnWm&#10;IbSeEdJpAoq48rblGuHjfXO3AhWiYWs6z4TwTQHWxfVVbjLrL/xG5zLWSko4ZAahibHPtA5VQ86E&#10;qe+Jxfv0gzNR5FBrO5iLlLtO3yfJQjvTsnxoTE8vDVVf5ckh7MNhOzkM282kDFbviPavuzQi3t6M&#10;z0+gIo3xLwy/+IIOhTAd/YltUB3Cw3wmWyLCLFmCksD8cSmHI8JilYIucv1/QfEDAAD//wMAUEsB&#10;Ai0AFAAGAAgAAAAhALaDOJL+AAAA4QEAABMAAAAAAAAAAAAAAAAAAAAAAFtDb250ZW50X1R5cGVz&#10;XS54bWxQSwECLQAUAAYACAAAACEAOP0h/9YAAACUAQAACwAAAAAAAAAAAAAAAAAvAQAAX3JlbHMv&#10;LnJlbHNQSwECLQAUAAYACAAAACEAgBn2c5kCAACuBQAADgAAAAAAAAAAAAAAAAAuAgAAZHJzL2Uy&#10;b0RvYy54bWxQSwECLQAUAAYACAAAACEAOqMPruAAAAAJAQAADwAAAAAAAAAAAAAAAADzBAAAZHJz&#10;L2Rvd25yZXYueG1sUEsFBgAAAAAEAAQA8wAAAAAGAAAAAA==&#10;" o:allowoverlap="f" fillcolor="white [3201]" stroked="f" strokeweight=".5pt">
                <v:path arrowok="t"/>
                <v:textbox>
                  <w:txbxContent>
                    <w:p w:rsidR="0060782B" w:rsidRDefault="0060782B" w:rsidP="0060782B">
                      <w:pPr>
                        <w:ind w:right="60"/>
                        <w:rPr>
                          <w:rFonts w:asciiTheme="minorHAnsi" w:hAnsiTheme="minorHAnsi"/>
                          <w:sz w:val="20"/>
                          <w:szCs w:val="20"/>
                        </w:rPr>
                      </w:pPr>
                      <w:hyperlink w:anchor="TOC" w:history="1">
                        <w:r>
                          <w:rPr>
                            <w:rStyle w:val="Hyperlink"/>
                            <w:sz w:val="20"/>
                            <w:szCs w:val="20"/>
                          </w:rPr>
                          <w:t>Back to TOC</w:t>
                        </w:r>
                      </w:hyperlink>
                    </w:p>
                  </w:txbxContent>
                </v:textbox>
                <w10:wrap anchorx="margin" anchory="margin"/>
                <w10:anchorlock/>
              </v:shape>
            </w:pict>
          </mc:Fallback>
        </mc:AlternateContent>
      </w:r>
      <w:r w:rsidRPr="00EF5EA2">
        <w:rPr>
          <w:rFonts w:asciiTheme="minorHAnsi" w:hAnsiTheme="minorHAnsi"/>
        </w:rPr>
        <w:t xml:space="preserve">fired boilers.  </w:t>
      </w:r>
      <w:r w:rsidRPr="00EF5EA2">
        <w:rPr>
          <w:rStyle w:val="NoSpacingChar"/>
          <w:rFonts w:asciiTheme="minorHAnsi" w:hAnsiTheme="minorHAnsi"/>
        </w:rPr>
        <w:t>The following NO</w:t>
      </w:r>
      <w:r w:rsidRPr="00EF5EA2">
        <w:rPr>
          <w:rStyle w:val="NoSpacingChar"/>
          <w:rFonts w:asciiTheme="minorHAnsi" w:hAnsiTheme="minorHAnsi"/>
          <w:vertAlign w:val="subscript"/>
        </w:rPr>
        <w:t>x</w:t>
      </w:r>
      <w:r w:rsidRPr="00EF5EA2">
        <w:rPr>
          <w:rStyle w:val="NoSpacingChar"/>
          <w:rFonts w:asciiTheme="minorHAnsi" w:hAnsiTheme="minorHAnsi"/>
        </w:rPr>
        <w:t xml:space="preserve"> emission rates are based on “fuel” and not “boiler type.”  Existing NO</w:t>
      </w:r>
      <w:r w:rsidRPr="00EF5EA2">
        <w:rPr>
          <w:rStyle w:val="NoSpacingChar"/>
          <w:rFonts w:asciiTheme="minorHAnsi" w:hAnsiTheme="minorHAnsi"/>
          <w:vertAlign w:val="subscript"/>
        </w:rPr>
        <w:t>x</w:t>
      </w:r>
      <w:r w:rsidRPr="00EF5EA2">
        <w:rPr>
          <w:rStyle w:val="NoSpacingChar"/>
          <w:rFonts w:asciiTheme="minorHAnsi" w:hAnsiTheme="minorHAnsi"/>
        </w:rPr>
        <w:t xml:space="preserve"> control technology is capable of providing high emission control rate efficiency for all sources, regardless of boiler type and fuel firing method.  </w:t>
      </w:r>
    </w:p>
    <w:p w:rsidR="001B265F" w:rsidRDefault="001B265F" w:rsidP="0081054E">
      <w:pPr>
        <w:pStyle w:val="BodyText2"/>
        <w:spacing w:after="0" w:line="240" w:lineRule="auto"/>
        <w:rPr>
          <w:rStyle w:val="NoSpacingChar"/>
          <w:rFonts w:asciiTheme="minorHAnsi" w:hAnsiTheme="minorHAnsi"/>
          <w:bCs/>
        </w:rPr>
      </w:pPr>
    </w:p>
    <w:p w:rsidR="001B265F" w:rsidRDefault="001B265F" w:rsidP="0081054E">
      <w:pPr>
        <w:pStyle w:val="BodyText2"/>
        <w:spacing w:after="0" w:line="240" w:lineRule="auto"/>
        <w:rPr>
          <w:rStyle w:val="NoSpacingChar"/>
          <w:rFonts w:asciiTheme="minorHAnsi" w:hAnsiTheme="minorHAnsi"/>
          <w:bCs/>
        </w:rPr>
      </w:pPr>
    </w:p>
    <w:p w:rsidR="00684591" w:rsidRDefault="00684591" w:rsidP="0081054E">
      <w:pPr>
        <w:pStyle w:val="BodyText2"/>
        <w:spacing w:after="0" w:line="240" w:lineRule="auto"/>
        <w:rPr>
          <w:rStyle w:val="NoSpacingChar"/>
          <w:rFonts w:asciiTheme="minorHAnsi" w:hAnsiTheme="minorHAnsi"/>
          <w:bCs/>
        </w:rPr>
      </w:pPr>
    </w:p>
    <w:p w:rsidR="00684591" w:rsidRDefault="00684591" w:rsidP="0081054E">
      <w:pPr>
        <w:pStyle w:val="BodyText2"/>
        <w:spacing w:after="0" w:line="240" w:lineRule="auto"/>
        <w:rPr>
          <w:rStyle w:val="NoSpacingChar"/>
          <w:rFonts w:asciiTheme="minorHAnsi" w:hAnsiTheme="minorHAnsi"/>
          <w:bCs/>
        </w:rPr>
      </w:pPr>
    </w:p>
    <w:p w:rsidR="00462C12" w:rsidRDefault="00462C12" w:rsidP="0081054E">
      <w:pPr>
        <w:pStyle w:val="BodyText2"/>
        <w:spacing w:after="0" w:line="240" w:lineRule="auto"/>
        <w:rPr>
          <w:rStyle w:val="NoSpacingChar"/>
          <w:rFonts w:asciiTheme="minorHAnsi" w:hAnsiTheme="minorHAnsi"/>
          <w:bCs/>
        </w:rPr>
      </w:pPr>
    </w:p>
    <w:p w:rsidR="00462C12" w:rsidRPr="00462C12" w:rsidRDefault="00462C12" w:rsidP="00462C12">
      <w:pPr>
        <w:pStyle w:val="Caption"/>
        <w:keepNext/>
        <w:spacing w:before="120" w:after="120"/>
        <w:rPr>
          <w:rFonts w:asciiTheme="minorHAnsi" w:hAnsiTheme="minorHAnsi"/>
          <w:sz w:val="22"/>
          <w:szCs w:val="22"/>
        </w:rPr>
      </w:pPr>
      <w:bookmarkStart w:id="338" w:name="_Toc461106812"/>
      <w:r w:rsidRPr="00462C12">
        <w:rPr>
          <w:rFonts w:asciiTheme="minorHAnsi" w:hAnsiTheme="minorHAnsi"/>
          <w:sz w:val="22"/>
          <w:szCs w:val="22"/>
        </w:rPr>
        <w:lastRenderedPageBreak/>
        <w:t>Table 3-11</w:t>
      </w:r>
      <w:r w:rsidR="00FD75BF">
        <w:rPr>
          <w:rFonts w:asciiTheme="minorHAnsi" w:hAnsiTheme="minorHAnsi"/>
          <w:sz w:val="22"/>
          <w:szCs w:val="22"/>
        </w:rPr>
        <w:tab/>
      </w:r>
      <w:r w:rsidRPr="00462C12">
        <w:rPr>
          <w:rStyle w:val="NoSpacingChar"/>
          <w:rFonts w:asciiTheme="minorHAnsi" w:hAnsiTheme="minorHAnsi"/>
          <w:sz w:val="22"/>
          <w:szCs w:val="22"/>
        </w:rPr>
        <w:t>Proposal for NO</w:t>
      </w:r>
      <w:r w:rsidRPr="00462C12">
        <w:rPr>
          <w:rStyle w:val="NoSpacingChar"/>
          <w:rFonts w:asciiTheme="minorHAnsi" w:hAnsiTheme="minorHAnsi"/>
          <w:sz w:val="22"/>
          <w:szCs w:val="22"/>
          <w:vertAlign w:val="subscript"/>
        </w:rPr>
        <w:t>x</w:t>
      </w:r>
      <w:r w:rsidRPr="00462C12">
        <w:rPr>
          <w:rStyle w:val="NoSpacingChar"/>
          <w:rFonts w:asciiTheme="minorHAnsi" w:hAnsiTheme="minorHAnsi"/>
          <w:sz w:val="22"/>
          <w:szCs w:val="22"/>
        </w:rPr>
        <w:t xml:space="preserve"> Emission Limits for Boilers serving EGUs</w:t>
      </w:r>
      <w:bookmarkEnd w:id="338"/>
    </w:p>
    <w:tbl>
      <w:tblPr>
        <w:tblW w:w="7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8"/>
        <w:gridCol w:w="2160"/>
        <w:gridCol w:w="2042"/>
        <w:gridCol w:w="2492"/>
      </w:tblGrid>
      <w:tr w:rsidR="009B2F9B" w:rsidRPr="00EF5EA2" w:rsidTr="002D4198">
        <w:trPr>
          <w:jc w:val="center"/>
        </w:trPr>
        <w:tc>
          <w:tcPr>
            <w:tcW w:w="1018" w:type="dxa"/>
          </w:tcPr>
          <w:p w:rsidR="009B2F9B" w:rsidRPr="00EF5EA2" w:rsidRDefault="009B2F9B" w:rsidP="0081054E">
            <w:pPr>
              <w:pStyle w:val="BodyText2"/>
              <w:spacing w:after="0" w:line="240" w:lineRule="auto"/>
              <w:rPr>
                <w:rStyle w:val="NoSpacingChar"/>
                <w:rFonts w:asciiTheme="minorHAnsi" w:hAnsiTheme="minorHAnsi"/>
                <w:u w:val="single"/>
              </w:rPr>
            </w:pPr>
            <w:r w:rsidRPr="00EF5EA2">
              <w:rPr>
                <w:rStyle w:val="NoSpacingChar"/>
                <w:rFonts w:asciiTheme="minorHAnsi" w:hAnsiTheme="minorHAnsi"/>
                <w:u w:val="single"/>
              </w:rPr>
              <w:t>Source</w:t>
            </w:r>
          </w:p>
        </w:tc>
        <w:tc>
          <w:tcPr>
            <w:tcW w:w="2160" w:type="dxa"/>
          </w:tcPr>
          <w:p w:rsidR="009B2F9B" w:rsidRPr="00EF5EA2" w:rsidRDefault="009B2F9B" w:rsidP="0081054E">
            <w:pPr>
              <w:pStyle w:val="BodyText2"/>
              <w:spacing w:after="0" w:line="240" w:lineRule="auto"/>
              <w:rPr>
                <w:rStyle w:val="NoSpacingChar"/>
                <w:rFonts w:asciiTheme="minorHAnsi" w:hAnsiTheme="minorHAnsi"/>
                <w:u w:val="single"/>
              </w:rPr>
            </w:pPr>
            <w:r w:rsidRPr="00EF5EA2">
              <w:rPr>
                <w:rStyle w:val="NoSpacingChar"/>
                <w:rFonts w:asciiTheme="minorHAnsi" w:hAnsiTheme="minorHAnsi"/>
                <w:u w:val="single"/>
              </w:rPr>
              <w:t>Type of Fuel</w:t>
            </w:r>
          </w:p>
        </w:tc>
        <w:tc>
          <w:tcPr>
            <w:tcW w:w="2042" w:type="dxa"/>
          </w:tcPr>
          <w:p w:rsidR="009B2F9B" w:rsidRPr="00EF5EA2" w:rsidRDefault="009B2F9B" w:rsidP="0081054E">
            <w:pPr>
              <w:pStyle w:val="BodyText2"/>
              <w:spacing w:after="0" w:line="240" w:lineRule="auto"/>
              <w:rPr>
                <w:rStyle w:val="NoSpacingChar"/>
                <w:rFonts w:asciiTheme="minorHAnsi" w:hAnsiTheme="minorHAnsi"/>
                <w:u w:val="single"/>
              </w:rPr>
            </w:pPr>
            <w:r w:rsidRPr="00EF5EA2">
              <w:rPr>
                <w:rStyle w:val="NoSpacingChar"/>
                <w:rFonts w:asciiTheme="minorHAnsi" w:hAnsiTheme="minorHAnsi"/>
                <w:u w:val="single"/>
              </w:rPr>
              <w:t>NO</w:t>
            </w:r>
            <w:r w:rsidRPr="00EF5EA2">
              <w:rPr>
                <w:rStyle w:val="NoSpacingChar"/>
                <w:rFonts w:asciiTheme="minorHAnsi" w:hAnsiTheme="minorHAnsi"/>
                <w:u w:val="single"/>
                <w:vertAlign w:val="subscript"/>
              </w:rPr>
              <w:t>x</w:t>
            </w:r>
            <w:r w:rsidRPr="00EF5EA2">
              <w:rPr>
                <w:rStyle w:val="NoSpacingChar"/>
                <w:rFonts w:asciiTheme="minorHAnsi" w:hAnsiTheme="minorHAnsi"/>
                <w:u w:val="single"/>
              </w:rPr>
              <w:t xml:space="preserve"> Emission Rate</w:t>
            </w:r>
          </w:p>
          <w:p w:rsidR="009B2F9B" w:rsidRPr="00EF5EA2" w:rsidRDefault="009B2F9B" w:rsidP="0081054E">
            <w:pPr>
              <w:pStyle w:val="BodyText2"/>
              <w:spacing w:after="0" w:line="240" w:lineRule="auto"/>
              <w:rPr>
                <w:rStyle w:val="NoSpacingChar"/>
                <w:rFonts w:asciiTheme="minorHAnsi" w:hAnsiTheme="minorHAnsi"/>
                <w:vertAlign w:val="superscript"/>
              </w:rPr>
            </w:pPr>
            <w:r w:rsidRPr="00EF5EA2">
              <w:rPr>
                <w:rStyle w:val="NoSpacingChar"/>
                <w:rFonts w:asciiTheme="minorHAnsi" w:hAnsiTheme="minorHAnsi"/>
              </w:rPr>
              <w:t>(lb/MMBtu)</w:t>
            </w:r>
          </w:p>
        </w:tc>
        <w:tc>
          <w:tcPr>
            <w:tcW w:w="2492" w:type="dxa"/>
          </w:tcPr>
          <w:p w:rsidR="009B2F9B" w:rsidRPr="00EF5EA2" w:rsidRDefault="009B2F9B" w:rsidP="0081054E">
            <w:pPr>
              <w:pStyle w:val="BodyText2"/>
              <w:tabs>
                <w:tab w:val="center" w:pos="1022"/>
              </w:tabs>
              <w:spacing w:after="0" w:line="240" w:lineRule="auto"/>
              <w:rPr>
                <w:rStyle w:val="NoSpacingChar"/>
                <w:rFonts w:asciiTheme="minorHAnsi" w:hAnsiTheme="minorHAnsi"/>
                <w:u w:val="single"/>
              </w:rPr>
            </w:pPr>
            <w:r w:rsidRPr="00EF5EA2">
              <w:rPr>
                <w:rStyle w:val="NoSpacingChar"/>
                <w:rFonts w:asciiTheme="minorHAnsi" w:hAnsiTheme="minorHAnsi"/>
                <w:u w:val="single"/>
              </w:rPr>
              <w:t>Compliance Period</w:t>
            </w:r>
          </w:p>
        </w:tc>
      </w:tr>
      <w:tr w:rsidR="009B2F9B" w:rsidRPr="00EF5EA2" w:rsidTr="002D4198">
        <w:trPr>
          <w:jc w:val="center"/>
        </w:trPr>
        <w:tc>
          <w:tcPr>
            <w:tcW w:w="1018" w:type="dxa"/>
            <w:vMerge w:val="restart"/>
          </w:tcPr>
          <w:p w:rsidR="009B2F9B" w:rsidRPr="00EF5EA2" w:rsidRDefault="009B2F9B" w:rsidP="0081054E">
            <w:pPr>
              <w:pStyle w:val="BodyText2"/>
              <w:spacing w:after="0" w:line="240" w:lineRule="auto"/>
              <w:rPr>
                <w:rStyle w:val="NoSpacingChar"/>
                <w:rFonts w:asciiTheme="minorHAnsi" w:hAnsiTheme="minorHAnsi"/>
              </w:rPr>
            </w:pPr>
          </w:p>
          <w:p w:rsidR="009B2F9B" w:rsidRPr="00EF5EA2" w:rsidRDefault="009B2F9B" w:rsidP="0081054E">
            <w:pPr>
              <w:pStyle w:val="BodyText2"/>
              <w:spacing w:after="0" w:line="240" w:lineRule="auto"/>
              <w:rPr>
                <w:rStyle w:val="NoSpacingChar"/>
                <w:rFonts w:asciiTheme="minorHAnsi" w:hAnsiTheme="minorHAnsi"/>
              </w:rPr>
            </w:pPr>
            <w:r w:rsidRPr="00EF5EA2">
              <w:rPr>
                <w:rStyle w:val="NoSpacingChar"/>
                <w:rFonts w:asciiTheme="minorHAnsi" w:hAnsiTheme="minorHAnsi"/>
              </w:rPr>
              <w:t>Oil/gas Boilers serving EGUs</w:t>
            </w:r>
          </w:p>
        </w:tc>
        <w:tc>
          <w:tcPr>
            <w:tcW w:w="2160" w:type="dxa"/>
          </w:tcPr>
          <w:p w:rsidR="009B2F9B" w:rsidRPr="00EF5EA2" w:rsidRDefault="009B2F9B" w:rsidP="0081054E">
            <w:pPr>
              <w:pStyle w:val="BodyText2"/>
              <w:spacing w:after="0" w:line="240" w:lineRule="auto"/>
              <w:rPr>
                <w:rStyle w:val="NoSpacingChar"/>
                <w:rFonts w:asciiTheme="minorHAnsi" w:hAnsiTheme="minorHAnsi"/>
              </w:rPr>
            </w:pPr>
            <w:r w:rsidRPr="00EF5EA2">
              <w:rPr>
                <w:rStyle w:val="NoSpacingChar"/>
                <w:rFonts w:asciiTheme="minorHAnsi" w:hAnsiTheme="minorHAnsi"/>
              </w:rPr>
              <w:t>Natural Gas</w:t>
            </w:r>
          </w:p>
        </w:tc>
        <w:tc>
          <w:tcPr>
            <w:tcW w:w="2042" w:type="dxa"/>
          </w:tcPr>
          <w:p w:rsidR="009B2F9B" w:rsidRPr="00EF5EA2" w:rsidRDefault="009B2F9B" w:rsidP="0081054E">
            <w:pPr>
              <w:pStyle w:val="BodyText2"/>
              <w:spacing w:after="0" w:line="240" w:lineRule="auto"/>
              <w:rPr>
                <w:rStyle w:val="NoSpacingChar"/>
                <w:rFonts w:asciiTheme="minorHAnsi" w:hAnsiTheme="minorHAnsi"/>
              </w:rPr>
            </w:pPr>
            <w:r w:rsidRPr="00EF5EA2">
              <w:rPr>
                <w:rStyle w:val="NoSpacingChar"/>
                <w:rFonts w:asciiTheme="minorHAnsi" w:hAnsiTheme="minorHAnsi"/>
              </w:rPr>
              <w:t>0.08</w:t>
            </w:r>
          </w:p>
        </w:tc>
        <w:tc>
          <w:tcPr>
            <w:tcW w:w="2492" w:type="dxa"/>
          </w:tcPr>
          <w:p w:rsidR="009B2F9B" w:rsidRPr="00EF5EA2" w:rsidRDefault="009B2F9B" w:rsidP="0081054E">
            <w:pPr>
              <w:pStyle w:val="BodyText2"/>
              <w:spacing w:after="0" w:line="240" w:lineRule="auto"/>
              <w:rPr>
                <w:rStyle w:val="NoSpacingChar"/>
                <w:rFonts w:asciiTheme="minorHAnsi" w:hAnsiTheme="minorHAnsi"/>
              </w:rPr>
            </w:pPr>
            <w:r w:rsidRPr="00EF5EA2">
              <w:rPr>
                <w:rStyle w:val="NoSpacingChar"/>
                <w:rFonts w:asciiTheme="minorHAnsi" w:hAnsiTheme="minorHAnsi"/>
              </w:rPr>
              <w:t>Rolling 24-hour daily average</w:t>
            </w:r>
          </w:p>
        </w:tc>
      </w:tr>
      <w:tr w:rsidR="009B2F9B" w:rsidRPr="00EF5EA2" w:rsidTr="002D4198">
        <w:trPr>
          <w:jc w:val="center"/>
        </w:trPr>
        <w:tc>
          <w:tcPr>
            <w:tcW w:w="1018" w:type="dxa"/>
            <w:vMerge/>
          </w:tcPr>
          <w:p w:rsidR="009B2F9B" w:rsidRPr="00EF5EA2" w:rsidRDefault="009B2F9B" w:rsidP="0081054E">
            <w:pPr>
              <w:pStyle w:val="BodyText2"/>
              <w:spacing w:after="0" w:line="240" w:lineRule="auto"/>
              <w:jc w:val="both"/>
              <w:rPr>
                <w:rStyle w:val="NoSpacingChar"/>
                <w:rFonts w:asciiTheme="minorHAnsi" w:hAnsiTheme="minorHAnsi"/>
              </w:rPr>
            </w:pPr>
          </w:p>
        </w:tc>
        <w:tc>
          <w:tcPr>
            <w:tcW w:w="2160" w:type="dxa"/>
          </w:tcPr>
          <w:p w:rsidR="009B2F9B" w:rsidRPr="00EF5EA2" w:rsidRDefault="009B2F9B" w:rsidP="0081054E">
            <w:pPr>
              <w:pStyle w:val="BodyText2"/>
              <w:spacing w:after="0" w:line="240" w:lineRule="auto"/>
              <w:rPr>
                <w:rStyle w:val="NoSpacingChar"/>
                <w:rFonts w:asciiTheme="minorHAnsi" w:hAnsiTheme="minorHAnsi"/>
              </w:rPr>
            </w:pPr>
            <w:r w:rsidRPr="00EF5EA2">
              <w:rPr>
                <w:rStyle w:val="NoSpacingChar"/>
                <w:rFonts w:asciiTheme="minorHAnsi" w:hAnsiTheme="minorHAnsi"/>
              </w:rPr>
              <w:t>No. 2 and lighter Oil</w:t>
            </w:r>
          </w:p>
        </w:tc>
        <w:tc>
          <w:tcPr>
            <w:tcW w:w="2042" w:type="dxa"/>
          </w:tcPr>
          <w:p w:rsidR="009B2F9B" w:rsidRPr="00EF5EA2" w:rsidRDefault="009B2F9B" w:rsidP="0081054E">
            <w:pPr>
              <w:pStyle w:val="BodyText2"/>
              <w:spacing w:after="0" w:line="240" w:lineRule="auto"/>
              <w:rPr>
                <w:rStyle w:val="NoSpacingChar"/>
                <w:rFonts w:asciiTheme="minorHAnsi" w:hAnsiTheme="minorHAnsi"/>
              </w:rPr>
            </w:pPr>
            <w:r w:rsidRPr="00EF5EA2">
              <w:rPr>
                <w:rStyle w:val="NoSpacingChar"/>
                <w:rFonts w:asciiTheme="minorHAnsi" w:hAnsiTheme="minorHAnsi"/>
              </w:rPr>
              <w:t>0.15</w:t>
            </w:r>
          </w:p>
        </w:tc>
        <w:tc>
          <w:tcPr>
            <w:tcW w:w="2492" w:type="dxa"/>
          </w:tcPr>
          <w:p w:rsidR="009B2F9B" w:rsidRPr="00EF5EA2" w:rsidRDefault="009B2F9B" w:rsidP="0081054E">
            <w:pPr>
              <w:pStyle w:val="BodyText2"/>
              <w:spacing w:after="0" w:line="240" w:lineRule="auto"/>
              <w:rPr>
                <w:rStyle w:val="NoSpacingChar"/>
                <w:rFonts w:asciiTheme="minorHAnsi" w:hAnsiTheme="minorHAnsi"/>
              </w:rPr>
            </w:pPr>
            <w:r w:rsidRPr="00EF5EA2">
              <w:rPr>
                <w:rStyle w:val="NoSpacingChar"/>
                <w:rFonts w:asciiTheme="minorHAnsi" w:hAnsiTheme="minorHAnsi"/>
              </w:rPr>
              <w:t>Rolling 24-hour daily average</w:t>
            </w:r>
          </w:p>
        </w:tc>
      </w:tr>
      <w:tr w:rsidR="009B2F9B" w:rsidRPr="00EF5EA2" w:rsidTr="00462C12">
        <w:trPr>
          <w:trHeight w:val="782"/>
          <w:jc w:val="center"/>
        </w:trPr>
        <w:tc>
          <w:tcPr>
            <w:tcW w:w="1018" w:type="dxa"/>
            <w:vMerge/>
          </w:tcPr>
          <w:p w:rsidR="009B2F9B" w:rsidRPr="00EF5EA2" w:rsidRDefault="009B2F9B" w:rsidP="0081054E">
            <w:pPr>
              <w:pStyle w:val="BodyText2"/>
              <w:spacing w:after="0" w:line="240" w:lineRule="auto"/>
              <w:jc w:val="both"/>
              <w:rPr>
                <w:rStyle w:val="NoSpacingChar"/>
                <w:rFonts w:asciiTheme="minorHAnsi" w:hAnsiTheme="minorHAnsi"/>
              </w:rPr>
            </w:pPr>
          </w:p>
        </w:tc>
        <w:tc>
          <w:tcPr>
            <w:tcW w:w="2160" w:type="dxa"/>
          </w:tcPr>
          <w:p w:rsidR="009B2F9B" w:rsidRPr="00EF5EA2" w:rsidRDefault="009B2F9B" w:rsidP="0081054E">
            <w:pPr>
              <w:pStyle w:val="BodyText2"/>
              <w:spacing w:after="0" w:line="240" w:lineRule="auto"/>
              <w:rPr>
                <w:rStyle w:val="NoSpacingChar"/>
                <w:rFonts w:asciiTheme="minorHAnsi" w:hAnsiTheme="minorHAnsi"/>
              </w:rPr>
            </w:pPr>
            <w:r w:rsidRPr="00EF5EA2">
              <w:rPr>
                <w:rStyle w:val="NoSpacingChar"/>
                <w:rFonts w:asciiTheme="minorHAnsi" w:hAnsiTheme="minorHAnsi"/>
              </w:rPr>
              <w:t>Heavier than No. 2 Oil</w:t>
            </w:r>
          </w:p>
        </w:tc>
        <w:tc>
          <w:tcPr>
            <w:tcW w:w="2042" w:type="dxa"/>
          </w:tcPr>
          <w:p w:rsidR="009B2F9B" w:rsidRPr="00EF5EA2" w:rsidRDefault="009B2F9B" w:rsidP="0081054E">
            <w:pPr>
              <w:pStyle w:val="BodyText2"/>
              <w:spacing w:after="0" w:line="240" w:lineRule="auto"/>
              <w:rPr>
                <w:rStyle w:val="NoSpacingChar"/>
                <w:rFonts w:asciiTheme="minorHAnsi" w:hAnsiTheme="minorHAnsi"/>
              </w:rPr>
            </w:pPr>
            <w:r w:rsidRPr="00EF5EA2">
              <w:rPr>
                <w:rStyle w:val="NoSpacingChar"/>
                <w:rFonts w:asciiTheme="minorHAnsi" w:hAnsiTheme="minorHAnsi"/>
              </w:rPr>
              <w:t xml:space="preserve">0.15 </w:t>
            </w:r>
          </w:p>
        </w:tc>
        <w:tc>
          <w:tcPr>
            <w:tcW w:w="2492" w:type="dxa"/>
          </w:tcPr>
          <w:p w:rsidR="009B2F9B" w:rsidRPr="00EF5EA2" w:rsidRDefault="009B2F9B" w:rsidP="0081054E">
            <w:pPr>
              <w:pStyle w:val="BodyText2"/>
              <w:spacing w:after="0" w:line="240" w:lineRule="auto"/>
              <w:rPr>
                <w:rStyle w:val="NoSpacingChar"/>
                <w:rFonts w:asciiTheme="minorHAnsi" w:hAnsiTheme="minorHAnsi"/>
              </w:rPr>
            </w:pPr>
            <w:r w:rsidRPr="00EF5EA2">
              <w:rPr>
                <w:rStyle w:val="NoSpacingChar"/>
                <w:rFonts w:asciiTheme="minorHAnsi" w:hAnsiTheme="minorHAnsi"/>
              </w:rPr>
              <w:t>Rolling 24-hour daily average</w:t>
            </w:r>
          </w:p>
        </w:tc>
      </w:tr>
    </w:tbl>
    <w:p w:rsidR="009B2F9B" w:rsidRPr="00EF5EA2" w:rsidRDefault="009B2F9B" w:rsidP="0081054E">
      <w:pPr>
        <w:pStyle w:val="NoSpacing"/>
        <w:spacing w:before="120" w:after="120"/>
        <w:ind w:left="907"/>
        <w:jc w:val="both"/>
        <w:rPr>
          <w:rFonts w:asciiTheme="minorHAnsi" w:hAnsiTheme="minorHAnsi"/>
        </w:rPr>
      </w:pPr>
      <w:r w:rsidRPr="00EF5EA2">
        <w:rPr>
          <w:rFonts w:asciiTheme="minorHAnsi" w:hAnsiTheme="minorHAnsi"/>
        </w:rPr>
        <w:t xml:space="preserve">The standards shown in </w:t>
      </w:r>
      <w:r w:rsidR="006633FD">
        <w:rPr>
          <w:rFonts w:asciiTheme="minorHAnsi" w:hAnsiTheme="minorHAnsi"/>
        </w:rPr>
        <w:t>Table 3-1</w:t>
      </w:r>
      <w:r w:rsidRPr="00EF5EA2">
        <w:rPr>
          <w:rFonts w:asciiTheme="minorHAnsi" w:hAnsiTheme="minorHAnsi"/>
        </w:rPr>
        <w:t>0 above are identical to the rule adopted by New York (NYCRR Part 227-2)</w:t>
      </w:r>
      <w:r w:rsidRPr="00EF5EA2">
        <w:rPr>
          <w:rStyle w:val="FootnoteReference"/>
          <w:rFonts w:asciiTheme="minorHAnsi" w:hAnsiTheme="minorHAnsi"/>
        </w:rPr>
        <w:footnoteReference w:id="21"/>
      </w:r>
      <w:r w:rsidRPr="00EF5EA2">
        <w:rPr>
          <w:rFonts w:asciiTheme="minorHAnsi" w:hAnsiTheme="minorHAnsi"/>
        </w:rPr>
        <w:t xml:space="preserve"> and are comparable with existing requirements in New Jersey (N.J.A.C. 7:27-19.4).  These performance standards are also comparable with the emission rates included in the multi-pollutant provisions of the mercury rule for coal-fired boilers in New Jersey at existing N.J.A.C. 7:27- 27.7(d),</w:t>
      </w:r>
      <w:r w:rsidRPr="00EF5EA2">
        <w:rPr>
          <w:rStyle w:val="FootnoteReference"/>
          <w:rFonts w:asciiTheme="minorHAnsi" w:hAnsiTheme="minorHAnsi"/>
        </w:rPr>
        <w:footnoteReference w:id="22"/>
      </w:r>
      <w:r w:rsidRPr="00EF5EA2">
        <w:rPr>
          <w:rFonts w:asciiTheme="minorHAnsi" w:hAnsiTheme="minorHAnsi"/>
        </w:rPr>
        <w:t xml:space="preserve"> Delaware Regulation Number 1146</w:t>
      </w:r>
      <w:r w:rsidRPr="00EF5EA2">
        <w:rPr>
          <w:rStyle w:val="FootnoteReference"/>
          <w:rFonts w:asciiTheme="minorHAnsi" w:hAnsiTheme="minorHAnsi"/>
        </w:rPr>
        <w:footnoteReference w:id="23"/>
      </w:r>
      <w:r w:rsidRPr="00EF5EA2">
        <w:rPr>
          <w:rFonts w:asciiTheme="minorHAnsi" w:hAnsiTheme="minorHAnsi"/>
        </w:rPr>
        <w:t xml:space="preserve"> and possibly Maryland 26.11.27</w:t>
      </w:r>
      <w:r w:rsidRPr="00EF5EA2">
        <w:rPr>
          <w:rStyle w:val="FootnoteReference"/>
          <w:rFonts w:asciiTheme="minorHAnsi" w:hAnsiTheme="minorHAnsi"/>
        </w:rPr>
        <w:footnoteReference w:id="24"/>
      </w:r>
      <w:r w:rsidRPr="00EF5EA2">
        <w:rPr>
          <w:rFonts w:asciiTheme="minorHAnsi" w:hAnsiTheme="minorHAnsi"/>
        </w:rPr>
        <w:t>.</w:t>
      </w:r>
    </w:p>
    <w:p w:rsidR="009B2F9B" w:rsidRPr="00A2277A" w:rsidRDefault="0025362E" w:rsidP="0025362E">
      <w:pPr>
        <w:pStyle w:val="Heading4"/>
        <w:ind w:left="810"/>
      </w:pPr>
      <w:bookmarkStart w:id="339" w:name="_Toc461021001"/>
      <w:bookmarkStart w:id="340" w:name="_Toc461025666"/>
      <w:bookmarkStart w:id="341" w:name="_Toc461027145"/>
      <w:r>
        <w:t>3</w:t>
      </w:r>
      <w:r w:rsidR="002D4198">
        <w:t>.4.2.2</w:t>
      </w:r>
      <w:r w:rsidR="002D4198">
        <w:tab/>
      </w:r>
      <w:r w:rsidR="009B2F9B" w:rsidRPr="00A2277A">
        <w:t>Alternate RACT Provision</w:t>
      </w:r>
      <w:bookmarkEnd w:id="339"/>
      <w:bookmarkEnd w:id="340"/>
      <w:bookmarkEnd w:id="341"/>
    </w:p>
    <w:p w:rsidR="009B2F9B" w:rsidRPr="00A2277A" w:rsidRDefault="009B2F9B" w:rsidP="0081054E">
      <w:pPr>
        <w:pStyle w:val="NoSpacing"/>
        <w:spacing w:after="120"/>
        <w:ind w:left="900"/>
        <w:jc w:val="both"/>
        <w:rPr>
          <w:rFonts w:asciiTheme="minorHAnsi" w:hAnsiTheme="minorHAnsi"/>
        </w:rPr>
      </w:pPr>
      <w:r w:rsidRPr="00A2277A">
        <w:rPr>
          <w:rFonts w:asciiTheme="minorHAnsi" w:hAnsiTheme="minorHAnsi"/>
        </w:rPr>
        <w:t>The OTC model rule provides an alternative to complying with the emission limits at 4.4.2.1.  This alternative is only available to the owner or operator of a boiler that is unable to comply with the presumptive NO</w:t>
      </w:r>
      <w:r w:rsidRPr="00A2277A">
        <w:rPr>
          <w:rFonts w:asciiTheme="minorHAnsi" w:hAnsiTheme="minorHAnsi" w:cs="Times New (W1)"/>
          <w:vertAlign w:val="subscript"/>
        </w:rPr>
        <w:t>x</w:t>
      </w:r>
      <w:r w:rsidRPr="00A2277A">
        <w:rPr>
          <w:rFonts w:asciiTheme="minorHAnsi" w:hAnsiTheme="minorHAnsi"/>
        </w:rPr>
        <w:t xml:space="preserve"> RACT emission limitation listed above.  Such an owner or operator must evaluate all available control devices and demonstrate that the use of each one to control NO</w:t>
      </w:r>
      <w:r w:rsidRPr="00A2277A">
        <w:rPr>
          <w:rFonts w:asciiTheme="minorHAnsi" w:hAnsiTheme="minorHAnsi" w:cs="Times New (W1)"/>
          <w:vertAlign w:val="subscript"/>
        </w:rPr>
        <w:t>x</w:t>
      </w:r>
      <w:r w:rsidRPr="00A2277A">
        <w:rPr>
          <w:rFonts w:asciiTheme="minorHAnsi" w:hAnsiTheme="minorHAnsi"/>
        </w:rPr>
        <w:t xml:space="preserve"> emissions from that particular boiler would be either technically or economically infeasible.  If any method of reducing the NO</w:t>
      </w:r>
      <w:r w:rsidRPr="00A2277A">
        <w:rPr>
          <w:rFonts w:asciiTheme="minorHAnsi" w:hAnsiTheme="minorHAnsi" w:cs="Times New (W1)"/>
          <w:vertAlign w:val="subscript"/>
        </w:rPr>
        <w:t>x</w:t>
      </w:r>
      <w:r w:rsidRPr="00A2277A">
        <w:rPr>
          <w:rFonts w:asciiTheme="minorHAnsi" w:hAnsiTheme="minorHAnsi"/>
        </w:rPr>
        <w:t xml:space="preserve"> emissions is technically and economically feasible, the owner or operator must implement that method, even if it does not reduce the NO</w:t>
      </w:r>
      <w:r w:rsidRPr="00A2277A">
        <w:rPr>
          <w:rFonts w:asciiTheme="minorHAnsi" w:hAnsiTheme="minorHAnsi" w:cs="Times New (W1)"/>
          <w:vertAlign w:val="subscript"/>
        </w:rPr>
        <w:t>x</w:t>
      </w:r>
      <w:r w:rsidRPr="00A2277A">
        <w:rPr>
          <w:rFonts w:asciiTheme="minorHAnsi" w:hAnsiTheme="minorHAnsi"/>
        </w:rPr>
        <w:t xml:space="preserve"> emissions enough to comply with the above limits.  The permitting agency may then approve an alternative emission limit that is higher than that listed above but is determined to be reasonably achievable by that boiler.</w:t>
      </w:r>
    </w:p>
    <w:p w:rsidR="009B2F9B" w:rsidRPr="00A2277A" w:rsidRDefault="0025362E" w:rsidP="0025362E">
      <w:pPr>
        <w:pStyle w:val="Heading3"/>
      </w:pPr>
      <w:bookmarkStart w:id="342" w:name="_Toc461021002"/>
      <w:bookmarkStart w:id="343" w:name="_Toc461025667"/>
      <w:bookmarkStart w:id="344" w:name="_Toc461025872"/>
      <w:bookmarkStart w:id="345" w:name="_Toc461027146"/>
      <w:r>
        <w:t>3</w:t>
      </w:r>
      <w:r w:rsidR="009B2F9B">
        <w:t>.4.3</w:t>
      </w:r>
      <w:r>
        <w:tab/>
      </w:r>
      <w:r w:rsidR="009B2F9B">
        <w:tab/>
      </w:r>
      <w:r w:rsidR="009B2F9B" w:rsidRPr="00A2277A">
        <w:t>Emissions Reduction Benefit</w:t>
      </w:r>
      <w:bookmarkEnd w:id="342"/>
      <w:bookmarkEnd w:id="343"/>
      <w:bookmarkEnd w:id="344"/>
      <w:bookmarkEnd w:id="345"/>
    </w:p>
    <w:p w:rsidR="009B2F9B" w:rsidRDefault="009B2F9B" w:rsidP="0081054E">
      <w:pPr>
        <w:pStyle w:val="NoSpacing"/>
        <w:spacing w:after="60"/>
        <w:ind w:left="360"/>
        <w:jc w:val="both"/>
        <w:rPr>
          <w:rFonts w:asciiTheme="minorHAnsi" w:hAnsiTheme="minorHAnsi"/>
        </w:rPr>
      </w:pPr>
      <w:r w:rsidRPr="00A2277A">
        <w:rPr>
          <w:rFonts w:asciiTheme="minorHAnsi" w:hAnsiTheme="minorHAnsi"/>
        </w:rPr>
        <w:t>Estimated emission reductions if the OTC model rule is adopted on a regional basis are based on NO</w:t>
      </w:r>
      <w:r w:rsidRPr="00A2277A">
        <w:rPr>
          <w:rFonts w:asciiTheme="minorHAnsi" w:hAnsiTheme="minorHAnsi"/>
          <w:vertAlign w:val="subscript"/>
        </w:rPr>
        <w:t>x</w:t>
      </w:r>
      <w:r w:rsidRPr="00A2277A">
        <w:rPr>
          <w:rFonts w:asciiTheme="minorHAnsi" w:hAnsiTheme="minorHAnsi"/>
        </w:rPr>
        <w:t xml:space="preserve"> inventory emissions, the control efficiencies of the reasonably available control technologies, and whether or not existing controls are in place and operable.  The estimates of the potential NO</w:t>
      </w:r>
      <w:r w:rsidRPr="00A2277A">
        <w:rPr>
          <w:rFonts w:asciiTheme="minorHAnsi" w:hAnsiTheme="minorHAnsi"/>
          <w:vertAlign w:val="subscript"/>
        </w:rPr>
        <w:t>x</w:t>
      </w:r>
      <w:r w:rsidRPr="00A2277A">
        <w:rPr>
          <w:rFonts w:asciiTheme="minorHAnsi" w:hAnsiTheme="minorHAnsi"/>
        </w:rPr>
        <w:t xml:space="preserve"> emissions reductions that could be expected from implementing the EGU boiler performance standards for oil and gas-fired units in the OTR are outlined in </w:t>
      </w:r>
      <w:r w:rsidR="006633FD">
        <w:rPr>
          <w:rFonts w:asciiTheme="minorHAnsi" w:hAnsiTheme="minorHAnsi"/>
          <w:bCs/>
        </w:rPr>
        <w:t>Table 3-1</w:t>
      </w:r>
      <w:r w:rsidRPr="00A2277A">
        <w:rPr>
          <w:rFonts w:asciiTheme="minorHAnsi" w:hAnsiTheme="minorHAnsi"/>
          <w:bCs/>
        </w:rPr>
        <w:t>2</w:t>
      </w:r>
      <w:r w:rsidRPr="00A2277A">
        <w:rPr>
          <w:rFonts w:asciiTheme="minorHAnsi" w:hAnsiTheme="minorHAnsi"/>
          <w:b/>
          <w:bCs/>
          <w:color w:val="FF0000"/>
        </w:rPr>
        <w:t xml:space="preserve"> </w:t>
      </w:r>
      <w:r w:rsidR="0060782B">
        <w:rPr>
          <w:noProof/>
        </w:rPr>
        <mc:AlternateContent>
          <mc:Choice Requires="wps">
            <w:drawing>
              <wp:anchor distT="0" distB="0" distL="114300" distR="114300" simplePos="0" relativeHeight="251757568" behindDoc="0" locked="1" layoutInCell="1" allowOverlap="0" wp14:anchorId="37F0C09B" wp14:editId="2A19CA42">
                <wp:simplePos x="0" y="0"/>
                <wp:positionH relativeFrom="margin">
                  <wp:posOffset>2724150</wp:posOffset>
                </wp:positionH>
                <wp:positionV relativeFrom="bottomMargin">
                  <wp:posOffset>975995</wp:posOffset>
                </wp:positionV>
                <wp:extent cx="914400" cy="237490"/>
                <wp:effectExtent l="0" t="0" r="0" b="0"/>
                <wp:wrapNone/>
                <wp:docPr id="21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237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782B" w:rsidRDefault="0060782B" w:rsidP="0060782B">
                            <w:pPr>
                              <w:ind w:right="60"/>
                              <w:rPr>
                                <w:rFonts w:asciiTheme="minorHAnsi" w:hAnsiTheme="minorHAnsi"/>
                                <w:sz w:val="20"/>
                                <w:szCs w:val="20"/>
                              </w:rPr>
                            </w:pPr>
                            <w:hyperlink w:anchor="TOC" w:history="1">
                              <w:r>
                                <w:rPr>
                                  <w:rStyle w:val="Hyperlink"/>
                                  <w:sz w:val="20"/>
                                  <w:szCs w:val="20"/>
                                </w:rPr>
                                <w:t>Back to TOC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0C09B" id="Text Box 216" o:spid="_x0000_s1065" type="#_x0000_t202" style="position:absolute;left:0;text-align:left;margin-left:214.5pt;margin-top:76.85pt;width:1in;height:18.7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G9gmQIAAK4FAAAOAAAAZHJzL2Uyb0RvYy54bWysVFFPGzEMfp+0/xDlfVxbCowTV9SBmCZV&#10;gAYTz2kuoRFJnCVp77pfj5O7K4XxwrSXOyf+bMf2Z5+dt0aTjfBBga3o+GBEibAcamUfK/rr/urL&#10;V0pCZLZmGqyo6FYEej77/OmscaWYwAp0LTxBJzaUjavoKkZXFkXgK2FYOAAnLColeMMiHv1jUXvW&#10;oHeji8lodFw04GvngYsQ8PayU9JZ9i+l4PFGyiAi0RXFt8X89fm7TN9idsbKR8/cSvH+GewfXmGY&#10;shh05+qSRUbWXv3lyijuIYCMBxxMAVIqLnIOmM149CabuxVzIueCxQluV6bw/9zy682tJ6qu6GR8&#10;TIllBpt0L9pIvkFL0h1WqHGhROCdQ2hsUYGdztkGtwD+FBBS7GE6g4DoVJFWepP+mCtBQ2zCdlf4&#10;FIfj5el4Oh2hhqNqcngyPc2NKV6MnQ/xuwBDklBRj33ND2CbRYgpPCsHSIoVQKv6SmmdD4lL4kJ7&#10;smHIAh3HKSe0eIXSljQVPT48GmXHFpJ5h9M2uRGZTX24lG2XYJbiVouE0fankFjNnOc7sRnnwu7i&#10;Z3RCSQz1EcMe//Kqjxh3eaBFjgw27oyNsuC7vr4uWf00lEx2+L7focs7lSC2yzbTaHo4MGYJ9RYJ&#10;46EbuuD4lcLuLViIt8zjlGHDcXPEG/xIDVh96CVKVuD/vHef8Eh+1FLS4NRWNPxeMy8o0T8sjkUm&#10;Eo55PkyPTiYYw+9rlvsauzYXgJQY445yPIsJH/UgSg/mARfMPEVFFbMcY1c0DuJF7HYJLigu5vMM&#10;wsF2LC7snePDnCRu3rcPzLuewBGZfw3DfLPyDY87bGqQhfk6glSZ5KnQXVX7BuBSyEzuF1jaOvvn&#10;jHpZs7NnAAAA//8DAFBLAwQUAAYACAAAACEA26PMU+EAAAALAQAADwAAAGRycy9kb3ducmV2Lnht&#10;bEyPwW7CMBBE75X4B2uRekHFCRQoaRxUVUWCAwfSXriZeJtEjdeRbSD9+25P7XFnRrNv8s1gO3FF&#10;H1pHCtJpAgKpcqalWsHH+/bhCUSImozuHKGCbwywKUZ3uc6Mu9ERr2WsBZdQyLSCJsY+kzJUDVod&#10;pq5HYu/Teasjn76Wxusbl9tOzpJkKa1uiT80usfXBquv8mIVHMJpNzn53XZSBiP3iIe3fRqVuh8P&#10;L88gIg7xLwy/+IwOBTOd3YVMEJ2Cx9mat0Q2FvMVCE4sVnNWzqys0xRkkcv/G4ofAAAA//8DAFBL&#10;AQItABQABgAIAAAAIQC2gziS/gAAAOEBAAATAAAAAAAAAAAAAAAAAAAAAABbQ29udGVudF9UeXBl&#10;c10ueG1sUEsBAi0AFAAGAAgAAAAhADj9If/WAAAAlAEAAAsAAAAAAAAAAAAAAAAALwEAAF9yZWxz&#10;Ly5yZWxzUEsBAi0AFAAGAAgAAAAhAEc4b2CZAgAArgUAAA4AAAAAAAAAAAAAAAAALgIAAGRycy9l&#10;Mm9Eb2MueG1sUEsBAi0AFAAGAAgAAAAhANujzFPhAAAACwEAAA8AAAAAAAAAAAAAAAAA8wQAAGRy&#10;cy9kb3ducmV2LnhtbFBLBQYAAAAABAAEAPMAAAABBgAAAAA=&#10;" o:allowoverlap="f" fillcolor="white [3201]" stroked="f" strokeweight=".5pt">
                <v:path arrowok="t"/>
                <v:textbox>
                  <w:txbxContent>
                    <w:p w:rsidR="0060782B" w:rsidRDefault="0060782B" w:rsidP="0060782B">
                      <w:pPr>
                        <w:ind w:right="60"/>
                        <w:rPr>
                          <w:rFonts w:asciiTheme="minorHAnsi" w:hAnsiTheme="minorHAnsi"/>
                          <w:sz w:val="20"/>
                          <w:szCs w:val="20"/>
                        </w:rPr>
                      </w:pPr>
                      <w:hyperlink w:anchor="TOC" w:history="1">
                        <w:r>
                          <w:rPr>
                            <w:rStyle w:val="Hyperlink"/>
                            <w:sz w:val="20"/>
                            <w:szCs w:val="20"/>
                          </w:rPr>
                          <w:t>Back to TOC</w:t>
                        </w:r>
                      </w:hyperlink>
                    </w:p>
                  </w:txbxContent>
                </v:textbox>
                <w10:wrap anchorx="margin" anchory="margin"/>
                <w10:anchorlock/>
              </v:shape>
            </w:pict>
          </mc:Fallback>
        </mc:AlternateContent>
      </w:r>
      <w:r>
        <w:rPr>
          <w:rFonts w:asciiTheme="minorHAnsi" w:hAnsiTheme="minorHAnsi"/>
        </w:rPr>
        <w:t>below.</w:t>
      </w:r>
    </w:p>
    <w:p w:rsidR="00BE5463" w:rsidRDefault="00BE5463" w:rsidP="0081054E">
      <w:pPr>
        <w:pStyle w:val="NoSpacing"/>
        <w:jc w:val="center"/>
        <w:rPr>
          <w:rFonts w:asciiTheme="minorHAnsi" w:hAnsiTheme="minorHAnsi"/>
          <w:bCs/>
        </w:rPr>
      </w:pPr>
    </w:p>
    <w:p w:rsidR="00BE5463" w:rsidRDefault="00BE5463" w:rsidP="0081054E">
      <w:pPr>
        <w:pStyle w:val="NoSpacing"/>
        <w:jc w:val="center"/>
        <w:rPr>
          <w:rFonts w:asciiTheme="minorHAnsi" w:hAnsiTheme="minorHAnsi"/>
          <w:bCs/>
        </w:rPr>
      </w:pPr>
    </w:p>
    <w:p w:rsidR="00462C12" w:rsidRDefault="00462C12" w:rsidP="0081054E">
      <w:pPr>
        <w:pStyle w:val="NoSpacing"/>
        <w:jc w:val="center"/>
        <w:rPr>
          <w:rFonts w:asciiTheme="minorHAnsi" w:hAnsiTheme="minorHAnsi"/>
          <w:bCs/>
        </w:rPr>
      </w:pPr>
    </w:p>
    <w:p w:rsidR="00462C12" w:rsidRPr="00462C12" w:rsidRDefault="00462C12" w:rsidP="00462C12">
      <w:pPr>
        <w:pStyle w:val="Caption"/>
        <w:keepNext/>
        <w:spacing w:before="120" w:after="120"/>
        <w:rPr>
          <w:rFonts w:asciiTheme="minorHAnsi" w:hAnsiTheme="minorHAnsi"/>
          <w:sz w:val="22"/>
          <w:szCs w:val="22"/>
        </w:rPr>
      </w:pPr>
      <w:bookmarkStart w:id="346" w:name="_Toc461106813"/>
      <w:r w:rsidRPr="00462C12">
        <w:rPr>
          <w:rFonts w:asciiTheme="minorHAnsi" w:hAnsiTheme="minorHAnsi"/>
          <w:sz w:val="22"/>
          <w:szCs w:val="22"/>
        </w:rPr>
        <w:lastRenderedPageBreak/>
        <w:t>Table 3-12</w:t>
      </w:r>
      <w:r w:rsidR="00FD75BF">
        <w:rPr>
          <w:rFonts w:asciiTheme="minorHAnsi" w:hAnsiTheme="minorHAnsi"/>
          <w:sz w:val="22"/>
          <w:szCs w:val="22"/>
        </w:rPr>
        <w:tab/>
      </w:r>
      <w:r w:rsidRPr="00462C12">
        <w:rPr>
          <w:rFonts w:asciiTheme="minorHAnsi" w:hAnsiTheme="minorHAnsi"/>
          <w:sz w:val="22"/>
          <w:szCs w:val="22"/>
        </w:rPr>
        <w:t>Estimates of NO</w:t>
      </w:r>
      <w:r w:rsidRPr="00462C12">
        <w:rPr>
          <w:rFonts w:asciiTheme="minorHAnsi" w:hAnsiTheme="minorHAnsi"/>
          <w:sz w:val="22"/>
          <w:szCs w:val="22"/>
          <w:vertAlign w:val="subscript"/>
        </w:rPr>
        <w:t>x</w:t>
      </w:r>
      <w:r w:rsidRPr="00462C12">
        <w:rPr>
          <w:rFonts w:asciiTheme="minorHAnsi" w:hAnsiTheme="minorHAnsi"/>
          <w:sz w:val="22"/>
          <w:szCs w:val="22"/>
        </w:rPr>
        <w:t xml:space="preserve"> Emissions Reductions from Oil/Gas-fired EGUs</w:t>
      </w:r>
      <w:bookmarkEnd w:id="346"/>
    </w:p>
    <w:p w:rsidR="009B2F9B" w:rsidRPr="00A2277A" w:rsidRDefault="009B2F9B" w:rsidP="0081054E">
      <w:pPr>
        <w:pStyle w:val="nospacing0"/>
        <w:rPr>
          <w:rFonts w:asciiTheme="minorHAnsi" w:hAnsiTheme="minorHAnsi" w:cs="Arial"/>
        </w:rPr>
      </w:pPr>
      <w:r w:rsidRPr="00A2277A">
        <w:rPr>
          <w:rFonts w:asciiTheme="minorHAnsi" w:hAnsiTheme="minorHAnsi"/>
          <w:noProof/>
          <w:color w:val="1F497D"/>
        </w:rPr>
        <w:drawing>
          <wp:inline distT="0" distB="0" distL="0" distR="0" wp14:anchorId="4B6116A4" wp14:editId="66AE7ADA">
            <wp:extent cx="6115050" cy="2924175"/>
            <wp:effectExtent l="19050" t="0" r="0" b="0"/>
            <wp:docPr id="1" name="Picture 1" descr="cid:image002.png@01CA5624.61179F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CA5624.61179FB0"/>
                    <pic:cNvPicPr>
                      <a:picLocks noChangeAspect="1" noChangeArrowheads="1"/>
                    </pic:cNvPicPr>
                  </pic:nvPicPr>
                  <pic:blipFill>
                    <a:blip r:embed="rId14" cstate="print"/>
                    <a:srcRect/>
                    <a:stretch>
                      <a:fillRect/>
                    </a:stretch>
                  </pic:blipFill>
                  <pic:spPr bwMode="auto">
                    <a:xfrm>
                      <a:off x="0" y="0"/>
                      <a:ext cx="6115050" cy="2924175"/>
                    </a:xfrm>
                    <a:prstGeom prst="rect">
                      <a:avLst/>
                    </a:prstGeom>
                    <a:noFill/>
                    <a:ln w="9525">
                      <a:noFill/>
                      <a:miter lim="800000"/>
                      <a:headEnd/>
                      <a:tailEnd/>
                    </a:ln>
                  </pic:spPr>
                </pic:pic>
              </a:graphicData>
            </a:graphic>
          </wp:inline>
        </w:drawing>
      </w:r>
    </w:p>
    <w:p w:rsidR="009B2F9B" w:rsidRPr="00A2277A" w:rsidRDefault="009B2F9B" w:rsidP="0081054E">
      <w:pPr>
        <w:spacing w:before="120" w:after="120" w:line="240" w:lineRule="auto"/>
        <w:ind w:left="360"/>
        <w:jc w:val="both"/>
        <w:rPr>
          <w:rFonts w:asciiTheme="minorHAnsi" w:hAnsiTheme="minorHAnsi"/>
        </w:rPr>
      </w:pPr>
      <w:r w:rsidRPr="00A2277A">
        <w:rPr>
          <w:rFonts w:asciiTheme="minorHAnsi" w:hAnsiTheme="minorHAnsi"/>
        </w:rPr>
        <w:t>The estimates above are based on 2008 annual data, 2008 ozone season data, 2008 ozone season high NO</w:t>
      </w:r>
      <w:r w:rsidRPr="00A2277A">
        <w:rPr>
          <w:rFonts w:asciiTheme="minorHAnsi" w:hAnsiTheme="minorHAnsi"/>
          <w:vertAlign w:val="subscript"/>
        </w:rPr>
        <w:t>x</w:t>
      </w:r>
      <w:r w:rsidRPr="00A2277A">
        <w:rPr>
          <w:rFonts w:asciiTheme="minorHAnsi" w:hAnsiTheme="minorHAnsi"/>
        </w:rPr>
        <w:t xml:space="preserve"> rate day data, and data from the available 2009 ozone season (May and June) high NO</w:t>
      </w:r>
      <w:r w:rsidRPr="00A2277A">
        <w:rPr>
          <w:rFonts w:asciiTheme="minorHAnsi" w:hAnsiTheme="minorHAnsi"/>
          <w:vertAlign w:val="subscript"/>
        </w:rPr>
        <w:t>x</w:t>
      </w:r>
      <w:r w:rsidRPr="00A2277A">
        <w:rPr>
          <w:rFonts w:asciiTheme="minorHAnsi" w:hAnsiTheme="minorHAnsi"/>
        </w:rPr>
        <w:t xml:space="preserve"> rate data.  For the annual data, the values are the annual averages.  For the ozone season data, the values are the ozone season average.  For the high NO</w:t>
      </w:r>
      <w:r w:rsidRPr="00A2277A">
        <w:rPr>
          <w:rFonts w:asciiTheme="minorHAnsi" w:hAnsiTheme="minorHAnsi"/>
          <w:vertAlign w:val="subscript"/>
        </w:rPr>
        <w:t>x</w:t>
      </w:r>
      <w:r w:rsidRPr="00A2277A">
        <w:rPr>
          <w:rFonts w:asciiTheme="minorHAnsi" w:hAnsiTheme="minorHAnsi"/>
        </w:rPr>
        <w:t xml:space="preserve"> rate days, the values are the daily average for the day that the individual unit exhibited its highest daily average NO</w:t>
      </w:r>
      <w:r w:rsidRPr="00A2277A">
        <w:rPr>
          <w:rFonts w:asciiTheme="minorHAnsi" w:hAnsiTheme="minorHAnsi"/>
          <w:vertAlign w:val="subscript"/>
        </w:rPr>
        <w:t>x</w:t>
      </w:r>
      <w:r w:rsidRPr="00A2277A">
        <w:rPr>
          <w:rFonts w:asciiTheme="minorHAnsi" w:hAnsiTheme="minorHAnsi"/>
        </w:rPr>
        <w:t xml:space="preserve"> emission rate (not necessarily a date that corresponds to any other units high NO</w:t>
      </w:r>
      <w:r w:rsidRPr="00A2277A">
        <w:rPr>
          <w:rFonts w:asciiTheme="minorHAnsi" w:hAnsiTheme="minorHAnsi"/>
          <w:vertAlign w:val="subscript"/>
        </w:rPr>
        <w:t>x</w:t>
      </w:r>
      <w:r w:rsidRPr="00A2277A">
        <w:rPr>
          <w:rFonts w:asciiTheme="minorHAnsi" w:hAnsiTheme="minorHAnsi"/>
        </w:rPr>
        <w:t xml:space="preserve"> rate day) for that respective ozone season.  Because not all of these units had a peak NO</w:t>
      </w:r>
      <w:r w:rsidRPr="00A2277A">
        <w:rPr>
          <w:rFonts w:asciiTheme="minorHAnsi" w:hAnsiTheme="minorHAnsi"/>
          <w:vertAlign w:val="subscript"/>
        </w:rPr>
        <w:t>x</w:t>
      </w:r>
      <w:r w:rsidRPr="00A2277A">
        <w:rPr>
          <w:rFonts w:asciiTheme="minorHAnsi" w:hAnsiTheme="minorHAnsi"/>
        </w:rPr>
        <w:t xml:space="preserve"> rate day on the same date, it is likely that the total reductions shown would tend to be optimistic for any given day.  This spreadsheet exhibits the data on a per unit basis.</w:t>
      </w:r>
    </w:p>
    <w:p w:rsidR="009B2F9B" w:rsidRPr="00A2277A" w:rsidRDefault="0025362E" w:rsidP="0025362E">
      <w:pPr>
        <w:pStyle w:val="Heading3"/>
      </w:pPr>
      <w:bookmarkStart w:id="347" w:name="_Toc461021003"/>
      <w:bookmarkStart w:id="348" w:name="_Toc461025668"/>
      <w:bookmarkStart w:id="349" w:name="_Toc461025873"/>
      <w:bookmarkStart w:id="350" w:name="_Toc461027147"/>
      <w:r>
        <w:t>3</w:t>
      </w:r>
      <w:r w:rsidR="009B2F9B">
        <w:t>.4.4</w:t>
      </w:r>
      <w:r w:rsidR="009B2F9B">
        <w:tab/>
      </w:r>
      <w:r>
        <w:tab/>
      </w:r>
      <w:r w:rsidR="009B2F9B" w:rsidRPr="00A2277A">
        <w:t>Control Cost Estimate</w:t>
      </w:r>
      <w:bookmarkEnd w:id="347"/>
      <w:bookmarkEnd w:id="348"/>
      <w:bookmarkEnd w:id="349"/>
      <w:bookmarkEnd w:id="350"/>
    </w:p>
    <w:p w:rsidR="009B2F9B" w:rsidRDefault="009B2F9B" w:rsidP="0081054E">
      <w:pPr>
        <w:pStyle w:val="NoSpacing"/>
        <w:spacing w:after="120"/>
        <w:ind w:left="360"/>
        <w:jc w:val="both"/>
        <w:rPr>
          <w:rFonts w:asciiTheme="minorHAnsi" w:hAnsiTheme="minorHAnsi"/>
        </w:rPr>
      </w:pPr>
      <w:r w:rsidRPr="00A2277A">
        <w:rPr>
          <w:rFonts w:asciiTheme="minorHAnsi" w:hAnsiTheme="minorHAnsi"/>
        </w:rPr>
        <w:t>Oil and gas-fired boilers may require a control apparatus, such as a low NO</w:t>
      </w:r>
      <w:r w:rsidRPr="00A2277A">
        <w:rPr>
          <w:rFonts w:asciiTheme="minorHAnsi" w:hAnsiTheme="minorHAnsi"/>
          <w:vertAlign w:val="subscript"/>
        </w:rPr>
        <w:t>x</w:t>
      </w:r>
      <w:r w:rsidRPr="00A2277A">
        <w:rPr>
          <w:rFonts w:asciiTheme="minorHAnsi" w:hAnsiTheme="minorHAnsi"/>
        </w:rPr>
        <w:t xml:space="preserve"> burner (LNB) or a Selective Non-Catalytic Reduction (SNCR) system, installed on them in order to comply with the proposed maximum allowable NO</w:t>
      </w:r>
      <w:r w:rsidRPr="00A2277A">
        <w:rPr>
          <w:rFonts w:asciiTheme="minorHAnsi" w:hAnsiTheme="minorHAnsi"/>
          <w:vertAlign w:val="subscript"/>
        </w:rPr>
        <w:t>x</w:t>
      </w:r>
      <w:r w:rsidRPr="00A2277A">
        <w:rPr>
          <w:rFonts w:asciiTheme="minorHAnsi" w:hAnsiTheme="minorHAnsi"/>
        </w:rPr>
        <w:t xml:space="preserve"> emission rates.  The cost-effectiveness of installing, maintaining and operating various types of NO</w:t>
      </w:r>
      <w:r w:rsidRPr="00A2277A">
        <w:rPr>
          <w:rFonts w:asciiTheme="minorHAnsi" w:hAnsiTheme="minorHAnsi"/>
          <w:vertAlign w:val="subscript"/>
        </w:rPr>
        <w:t>x</w:t>
      </w:r>
      <w:r w:rsidRPr="00A2277A">
        <w:rPr>
          <w:rFonts w:asciiTheme="minorHAnsi" w:hAnsiTheme="minorHAnsi"/>
        </w:rPr>
        <w:t xml:space="preserve"> control equipment on a 100 MMBtu/hr boiler operating at 66 percent capacity and operating 8,760 hours per year are shown in </w:t>
      </w:r>
      <w:r w:rsidR="006633FD">
        <w:rPr>
          <w:rFonts w:asciiTheme="minorHAnsi" w:hAnsiTheme="minorHAnsi"/>
          <w:bCs/>
        </w:rPr>
        <w:t>Table 3-1</w:t>
      </w:r>
      <w:r w:rsidRPr="00A2277A">
        <w:rPr>
          <w:rFonts w:asciiTheme="minorHAnsi" w:hAnsiTheme="minorHAnsi"/>
          <w:bCs/>
        </w:rPr>
        <w:t>3</w:t>
      </w:r>
      <w:r w:rsidRPr="00A2277A">
        <w:rPr>
          <w:rFonts w:asciiTheme="minorHAnsi" w:hAnsiTheme="minorHAnsi"/>
          <w:b/>
          <w:bCs/>
          <w:color w:val="FF0000"/>
        </w:rPr>
        <w:t xml:space="preserve"> </w:t>
      </w:r>
      <w:r w:rsidR="0060782B">
        <w:rPr>
          <w:noProof/>
        </w:rPr>
        <mc:AlternateContent>
          <mc:Choice Requires="wps">
            <w:drawing>
              <wp:anchor distT="0" distB="0" distL="114300" distR="114300" simplePos="0" relativeHeight="251759616" behindDoc="0" locked="1" layoutInCell="1" allowOverlap="0" wp14:anchorId="37F0C09B" wp14:editId="2A19CA42">
                <wp:simplePos x="0" y="0"/>
                <wp:positionH relativeFrom="margin">
                  <wp:posOffset>2781300</wp:posOffset>
                </wp:positionH>
                <wp:positionV relativeFrom="bottomMargin">
                  <wp:posOffset>198755</wp:posOffset>
                </wp:positionV>
                <wp:extent cx="914400" cy="237490"/>
                <wp:effectExtent l="0" t="0" r="0" b="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237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782B" w:rsidRDefault="0060782B" w:rsidP="0060782B">
                            <w:pPr>
                              <w:ind w:right="60"/>
                              <w:rPr>
                                <w:rFonts w:asciiTheme="minorHAnsi" w:hAnsiTheme="minorHAnsi"/>
                                <w:sz w:val="20"/>
                                <w:szCs w:val="20"/>
                              </w:rPr>
                            </w:pPr>
                            <w:hyperlink w:anchor="TOC" w:history="1">
                              <w:r>
                                <w:rPr>
                                  <w:rStyle w:val="Hyperlink"/>
                                  <w:sz w:val="20"/>
                                  <w:szCs w:val="20"/>
                                </w:rPr>
                                <w:t>Back to TOC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0C09B" id="Text Box 217" o:spid="_x0000_s1066" type="#_x0000_t202" style="position:absolute;left:0;text-align:left;margin-left:219pt;margin-top:15.65pt;width:1in;height:18.7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o/TmQIAAK4FAAAOAAAAZHJzL2Uyb0RvYy54bWysVFFPGzEMfp+0/xDlfVxbCowTV9SBmCZV&#10;gAYTz2kuoRFJnCVp77pfj5O7K4XxwrSXOyf+bMf2Z5+dt0aTjfBBga3o+GBEibAcamUfK/rr/urL&#10;V0pCZLZmGqyo6FYEej77/OmscaWYwAp0LTxBJzaUjavoKkZXFkXgK2FYOAAnLColeMMiHv1jUXvW&#10;oHeji8lodFw04GvngYsQ8PayU9JZ9i+l4PFGyiAi0RXFt8X89fm7TN9idsbKR8/cSvH+GewfXmGY&#10;shh05+qSRUbWXv3lyijuIYCMBxxMAVIqLnIOmM149CabuxVzIueCxQluV6bw/9zy682tJ6qu6GR8&#10;QollBpt0L9pIvkFL0h1WqHGhROCdQ2hsUYGdztkGtwD+FBBS7GE6g4DoVJFWepP+mCtBQ2zCdlf4&#10;FIfj5el4Oh2hhqNqcngyPc2NKV6MnQ/xuwBDklBRj33ND2CbRYgpPCsHSIoVQKv6SmmdD4lL4kJ7&#10;smHIAh3HKSe0eIXSljQVPT48GmXHFpJ5h9M2uRGZTX24lG2XYJbiVouE0fankFjNnOc7sRnnwu7i&#10;Z3RCSQz1EcMe//Kqjxh3eaBFjgw27oyNsuC7vr4uWf00lEx2+L7focs7lSC2yzbTaDodGLOEeouE&#10;8dANXXD8SmH3FizEW+ZxyrDhuDniDX6kBqw+9BIlK/B/3rtPeCQ/ailpcGorGn6vmReU6B8WxyIT&#10;Ccc8H6ZHJxOM4fc1y32NXZsLQEqMcUc5nsWEj3oQpQfzgAtmnqKiilmOsSsaB/EidrsEFxQX83kG&#10;4WA7Fhf2zvFhThI379sH5l1P4IjMv4Zhvln5hscdNjXIwnwdQapM8lTorqp9A3ApZCb3Cyxtnf1z&#10;Rr2s2dkzAAAA//8DAFBLAwQUAAYACAAAACEA9Uf/F+AAAAAJAQAADwAAAGRycy9kb3ducmV2Lnht&#10;bEyPwU7DMBBE70j8g7VIXCrqpIE2CnEqhKjUHnogcOnNjbdJRLyObLcNf89yguPsjGbflOvJDuKC&#10;PvSOFKTzBARS40xPrYLPj81DDiJETUYPjlDBNwZYV7c3pS6Mu9I7XurYCi6hUGgFXYxjIWVoOrQ6&#10;zN2IxN7JeasjS99K4/WVy+0gF0mylFb3xB86PeJrh81XfbYK9uGwnR38djOrg5E7xP3bLo1K3d9N&#10;L88gIk7xLwy/+IwOFTMd3ZlMEIOCxyznLVFBlmYgOPCUL/hwVLDMVyCrUv5fUP0AAAD//wMAUEsB&#10;Ai0AFAAGAAgAAAAhALaDOJL+AAAA4QEAABMAAAAAAAAAAAAAAAAAAAAAAFtDb250ZW50X1R5cGVz&#10;XS54bWxQSwECLQAUAAYACAAAACEAOP0h/9YAAACUAQAACwAAAAAAAAAAAAAAAAAvAQAAX3JlbHMv&#10;LnJlbHNQSwECLQAUAAYACAAAACEArl6P05kCAACuBQAADgAAAAAAAAAAAAAAAAAuAgAAZHJzL2Uy&#10;b0RvYy54bWxQSwECLQAUAAYACAAAACEA9Uf/F+AAAAAJAQAADwAAAAAAAAAAAAAAAADzBAAAZHJz&#10;L2Rvd25yZXYueG1sUEsFBgAAAAAEAAQA8wAAAAAGAAAAAA==&#10;" o:allowoverlap="f" fillcolor="white [3201]" stroked="f" strokeweight=".5pt">
                <v:path arrowok="t"/>
                <v:textbox>
                  <w:txbxContent>
                    <w:p w:rsidR="0060782B" w:rsidRDefault="0060782B" w:rsidP="0060782B">
                      <w:pPr>
                        <w:ind w:right="60"/>
                        <w:rPr>
                          <w:rFonts w:asciiTheme="minorHAnsi" w:hAnsiTheme="minorHAnsi"/>
                          <w:sz w:val="20"/>
                          <w:szCs w:val="20"/>
                        </w:rPr>
                      </w:pPr>
                      <w:hyperlink w:anchor="TOC" w:history="1">
                        <w:r>
                          <w:rPr>
                            <w:rStyle w:val="Hyperlink"/>
                            <w:sz w:val="20"/>
                            <w:szCs w:val="20"/>
                          </w:rPr>
                          <w:t>Back to TOC</w:t>
                        </w:r>
                      </w:hyperlink>
                    </w:p>
                  </w:txbxContent>
                </v:textbox>
                <w10:wrap anchorx="margin" anchory="margin"/>
                <w10:anchorlock/>
              </v:shape>
            </w:pict>
          </mc:Fallback>
        </mc:AlternateContent>
      </w:r>
      <w:r w:rsidRPr="00A2277A">
        <w:rPr>
          <w:rFonts w:asciiTheme="minorHAnsi" w:hAnsiTheme="minorHAnsi"/>
        </w:rPr>
        <w:t xml:space="preserve">below.  </w:t>
      </w:r>
    </w:p>
    <w:p w:rsidR="001B265F" w:rsidRDefault="001B265F" w:rsidP="0081054E">
      <w:pPr>
        <w:pStyle w:val="NoSpacing"/>
        <w:spacing w:after="120"/>
        <w:ind w:left="360"/>
        <w:jc w:val="both"/>
        <w:rPr>
          <w:rFonts w:asciiTheme="minorHAnsi" w:hAnsiTheme="minorHAnsi"/>
        </w:rPr>
      </w:pPr>
    </w:p>
    <w:p w:rsidR="001B265F" w:rsidRDefault="001B265F" w:rsidP="0081054E">
      <w:pPr>
        <w:pStyle w:val="NoSpacing"/>
        <w:spacing w:after="120"/>
        <w:ind w:left="360"/>
        <w:jc w:val="both"/>
        <w:rPr>
          <w:rFonts w:asciiTheme="minorHAnsi" w:hAnsiTheme="minorHAnsi"/>
        </w:rPr>
      </w:pPr>
    </w:p>
    <w:p w:rsidR="001B265F" w:rsidRDefault="001B265F" w:rsidP="0081054E">
      <w:pPr>
        <w:pStyle w:val="NoSpacing"/>
        <w:spacing w:after="120"/>
        <w:ind w:left="360"/>
        <w:jc w:val="both"/>
        <w:rPr>
          <w:rFonts w:asciiTheme="minorHAnsi" w:hAnsiTheme="minorHAnsi"/>
        </w:rPr>
      </w:pPr>
    </w:p>
    <w:p w:rsidR="001B265F" w:rsidRDefault="001B265F" w:rsidP="0081054E">
      <w:pPr>
        <w:pStyle w:val="NoSpacing"/>
        <w:spacing w:after="120"/>
        <w:ind w:left="360"/>
        <w:jc w:val="both"/>
        <w:rPr>
          <w:rFonts w:asciiTheme="minorHAnsi" w:hAnsiTheme="minorHAnsi"/>
        </w:rPr>
      </w:pPr>
    </w:p>
    <w:p w:rsidR="001B265F" w:rsidRDefault="001B265F" w:rsidP="0081054E">
      <w:pPr>
        <w:pStyle w:val="NoSpacing"/>
        <w:spacing w:after="120"/>
        <w:ind w:left="360"/>
        <w:jc w:val="both"/>
        <w:rPr>
          <w:rFonts w:asciiTheme="minorHAnsi" w:hAnsiTheme="minorHAnsi"/>
        </w:rPr>
      </w:pPr>
    </w:p>
    <w:p w:rsidR="001B265F" w:rsidRDefault="001B265F" w:rsidP="0081054E">
      <w:pPr>
        <w:pStyle w:val="NoSpacing"/>
        <w:spacing w:after="120"/>
        <w:ind w:left="360"/>
        <w:jc w:val="both"/>
        <w:rPr>
          <w:rFonts w:asciiTheme="minorHAnsi" w:hAnsiTheme="minorHAnsi"/>
        </w:rPr>
      </w:pPr>
    </w:p>
    <w:p w:rsidR="00462C12" w:rsidRDefault="00462C12" w:rsidP="0081054E">
      <w:pPr>
        <w:pStyle w:val="NoSpacing"/>
        <w:ind w:firstLine="360"/>
        <w:jc w:val="center"/>
        <w:rPr>
          <w:rStyle w:val="NoSpacingChar"/>
          <w:rFonts w:asciiTheme="minorHAnsi" w:hAnsiTheme="minorHAnsi"/>
          <w:bCs/>
        </w:rPr>
      </w:pPr>
    </w:p>
    <w:p w:rsidR="00462C12" w:rsidRPr="00462C12" w:rsidRDefault="00462C12" w:rsidP="00462C12">
      <w:pPr>
        <w:pStyle w:val="Caption"/>
        <w:keepNext/>
        <w:rPr>
          <w:rFonts w:asciiTheme="minorHAnsi" w:hAnsiTheme="minorHAnsi"/>
          <w:sz w:val="22"/>
          <w:szCs w:val="22"/>
        </w:rPr>
      </w:pPr>
      <w:bookmarkStart w:id="351" w:name="_Toc461106814"/>
      <w:r w:rsidRPr="00462C12">
        <w:rPr>
          <w:rFonts w:asciiTheme="minorHAnsi" w:hAnsiTheme="minorHAnsi"/>
          <w:sz w:val="22"/>
          <w:szCs w:val="22"/>
        </w:rPr>
        <w:lastRenderedPageBreak/>
        <w:t>Table 3-13  Available NOx Emission Control Devices, Emission Reductions and Estimated Costs</w:t>
      </w:r>
      <w:bookmarkEnd w:id="351"/>
      <w:r w:rsidRPr="00462C12">
        <w:rPr>
          <w:rFonts w:asciiTheme="minorHAnsi" w:hAnsiTheme="minorHAnsi"/>
          <w:sz w:val="22"/>
          <w:szCs w:val="22"/>
        </w:rPr>
        <w:t xml:space="preserve"> </w:t>
      </w:r>
    </w:p>
    <w:p w:rsidR="00462C12" w:rsidRPr="00462C12" w:rsidRDefault="00462C12" w:rsidP="00462C12">
      <w:pPr>
        <w:pStyle w:val="Caption"/>
        <w:keepNext/>
        <w:spacing w:after="120"/>
        <w:rPr>
          <w:rFonts w:asciiTheme="minorHAnsi" w:hAnsiTheme="minorHAnsi"/>
          <w:sz w:val="22"/>
          <w:szCs w:val="22"/>
        </w:rPr>
      </w:pPr>
      <w:bookmarkStart w:id="352" w:name="_Toc461106815"/>
      <w:r w:rsidRPr="00462C12">
        <w:rPr>
          <w:rFonts w:asciiTheme="minorHAnsi" w:hAnsiTheme="minorHAnsi"/>
          <w:sz w:val="22"/>
          <w:szCs w:val="22"/>
        </w:rPr>
        <w:t>(Derived by using the OTC/LADCO 2008 Version of the MACTEC spreadsheets)</w:t>
      </w:r>
      <w:bookmarkEnd w:id="352"/>
    </w:p>
    <w:tbl>
      <w:tblPr>
        <w:tblW w:w="9856" w:type="dxa"/>
        <w:tblInd w:w="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096"/>
        <w:gridCol w:w="1170"/>
        <w:gridCol w:w="2587"/>
        <w:gridCol w:w="1620"/>
        <w:gridCol w:w="1620"/>
        <w:gridCol w:w="1763"/>
      </w:tblGrid>
      <w:tr w:rsidR="009B2F9B" w:rsidRPr="00A2277A" w:rsidTr="00EE78E5">
        <w:trPr>
          <w:trHeight w:val="1655"/>
        </w:trPr>
        <w:tc>
          <w:tcPr>
            <w:tcW w:w="1096" w:type="dxa"/>
            <w:tcBorders>
              <w:top w:val="single" w:sz="4" w:space="0" w:color="auto"/>
            </w:tcBorders>
            <w:vAlign w:val="center"/>
          </w:tcPr>
          <w:p w:rsidR="009B2F9B" w:rsidRPr="00A2277A" w:rsidRDefault="009B2F9B" w:rsidP="001B265F">
            <w:pPr>
              <w:spacing w:after="0" w:line="240" w:lineRule="auto"/>
              <w:rPr>
                <w:rFonts w:asciiTheme="minorHAnsi" w:hAnsiTheme="minorHAnsi"/>
                <w:b/>
                <w:bCs/>
              </w:rPr>
            </w:pPr>
            <w:r w:rsidRPr="00A2277A">
              <w:rPr>
                <w:rFonts w:asciiTheme="minorHAnsi" w:hAnsiTheme="minorHAnsi"/>
                <w:b/>
                <w:bCs/>
              </w:rPr>
              <w:t>Fuel Type</w:t>
            </w:r>
          </w:p>
        </w:tc>
        <w:tc>
          <w:tcPr>
            <w:tcW w:w="1170" w:type="dxa"/>
            <w:tcBorders>
              <w:top w:val="single" w:sz="4" w:space="0" w:color="auto"/>
            </w:tcBorders>
            <w:vAlign w:val="center"/>
          </w:tcPr>
          <w:p w:rsidR="009B2F9B" w:rsidRPr="00A2277A" w:rsidRDefault="009B2F9B" w:rsidP="001B265F">
            <w:pPr>
              <w:spacing w:after="0" w:line="240" w:lineRule="auto"/>
              <w:rPr>
                <w:rFonts w:asciiTheme="minorHAnsi" w:hAnsiTheme="minorHAnsi"/>
                <w:b/>
                <w:bCs/>
              </w:rPr>
            </w:pPr>
            <w:r w:rsidRPr="00A2277A">
              <w:rPr>
                <w:rFonts w:asciiTheme="minorHAnsi" w:hAnsiTheme="minorHAnsi"/>
                <w:b/>
                <w:bCs/>
              </w:rPr>
              <w:t>Pollutant</w:t>
            </w:r>
          </w:p>
        </w:tc>
        <w:tc>
          <w:tcPr>
            <w:tcW w:w="2587" w:type="dxa"/>
            <w:tcBorders>
              <w:top w:val="single" w:sz="4" w:space="0" w:color="auto"/>
            </w:tcBorders>
            <w:vAlign w:val="center"/>
          </w:tcPr>
          <w:p w:rsidR="009B2F9B" w:rsidRPr="00A2277A" w:rsidRDefault="009B2F9B" w:rsidP="001B265F">
            <w:pPr>
              <w:spacing w:after="0" w:line="240" w:lineRule="auto"/>
              <w:rPr>
                <w:rFonts w:asciiTheme="minorHAnsi" w:hAnsiTheme="minorHAnsi"/>
                <w:b/>
                <w:bCs/>
              </w:rPr>
            </w:pPr>
            <w:r w:rsidRPr="00A2277A">
              <w:rPr>
                <w:rFonts w:asciiTheme="minorHAnsi" w:hAnsiTheme="minorHAnsi"/>
                <w:b/>
                <w:bCs/>
              </w:rPr>
              <w:t>Available Control Device</w:t>
            </w:r>
          </w:p>
        </w:tc>
        <w:tc>
          <w:tcPr>
            <w:tcW w:w="1620" w:type="dxa"/>
            <w:tcBorders>
              <w:top w:val="single" w:sz="4" w:space="0" w:color="auto"/>
            </w:tcBorders>
            <w:vAlign w:val="center"/>
          </w:tcPr>
          <w:p w:rsidR="009B2F9B" w:rsidRPr="00A2277A" w:rsidRDefault="009B2F9B" w:rsidP="001B265F">
            <w:pPr>
              <w:spacing w:after="0" w:line="240" w:lineRule="auto"/>
              <w:rPr>
                <w:rFonts w:asciiTheme="minorHAnsi" w:hAnsiTheme="minorHAnsi"/>
                <w:b/>
                <w:bCs/>
              </w:rPr>
            </w:pPr>
            <w:r w:rsidRPr="00A2277A">
              <w:rPr>
                <w:rFonts w:asciiTheme="minorHAnsi" w:hAnsiTheme="minorHAnsi"/>
                <w:b/>
                <w:bCs/>
              </w:rPr>
              <w:t>NOx Controlled</w:t>
            </w:r>
          </w:p>
          <w:p w:rsidR="009B2F9B" w:rsidRPr="00A2277A" w:rsidRDefault="009B2F9B" w:rsidP="001B265F">
            <w:pPr>
              <w:spacing w:after="0" w:line="240" w:lineRule="auto"/>
              <w:rPr>
                <w:rFonts w:asciiTheme="minorHAnsi" w:hAnsiTheme="minorHAnsi"/>
                <w:b/>
                <w:bCs/>
              </w:rPr>
            </w:pPr>
            <w:r w:rsidRPr="00A2277A">
              <w:rPr>
                <w:rFonts w:asciiTheme="minorHAnsi" w:hAnsiTheme="minorHAnsi"/>
                <w:b/>
                <w:bCs/>
              </w:rPr>
              <w:t xml:space="preserve">Emission Rate </w:t>
            </w:r>
            <w:r w:rsidRPr="00A2277A">
              <w:rPr>
                <w:rFonts w:asciiTheme="minorHAnsi" w:hAnsiTheme="minorHAnsi"/>
              </w:rPr>
              <w:t>(lb/MMBtu)</w:t>
            </w:r>
          </w:p>
        </w:tc>
        <w:tc>
          <w:tcPr>
            <w:tcW w:w="1620" w:type="dxa"/>
            <w:tcBorders>
              <w:top w:val="single" w:sz="4" w:space="0" w:color="auto"/>
            </w:tcBorders>
            <w:vAlign w:val="center"/>
          </w:tcPr>
          <w:p w:rsidR="009B2F9B" w:rsidRPr="00A2277A" w:rsidRDefault="009B2F9B" w:rsidP="001B265F">
            <w:pPr>
              <w:spacing w:after="0" w:line="240" w:lineRule="auto"/>
              <w:rPr>
                <w:rFonts w:asciiTheme="minorHAnsi" w:hAnsiTheme="minorHAnsi"/>
                <w:b/>
                <w:bCs/>
              </w:rPr>
            </w:pPr>
            <w:r w:rsidRPr="00A2277A">
              <w:rPr>
                <w:rFonts w:asciiTheme="minorHAnsi" w:hAnsiTheme="minorHAnsi"/>
                <w:b/>
                <w:bCs/>
              </w:rPr>
              <w:t xml:space="preserve">Expected Emission Reduction </w:t>
            </w:r>
            <w:r w:rsidRPr="00A2277A">
              <w:rPr>
                <w:rFonts w:asciiTheme="minorHAnsi" w:hAnsiTheme="minorHAnsi"/>
              </w:rPr>
              <w:t>(%)</w:t>
            </w:r>
          </w:p>
        </w:tc>
        <w:tc>
          <w:tcPr>
            <w:tcW w:w="1763" w:type="dxa"/>
            <w:tcBorders>
              <w:top w:val="single" w:sz="4" w:space="0" w:color="auto"/>
            </w:tcBorders>
            <w:vAlign w:val="center"/>
          </w:tcPr>
          <w:p w:rsidR="009B2F9B" w:rsidRPr="00A2277A" w:rsidRDefault="009B2F9B" w:rsidP="001B265F">
            <w:pPr>
              <w:spacing w:after="0" w:line="240" w:lineRule="auto"/>
              <w:rPr>
                <w:rFonts w:asciiTheme="minorHAnsi" w:hAnsiTheme="minorHAnsi"/>
              </w:rPr>
            </w:pPr>
            <w:r w:rsidRPr="00A2277A">
              <w:rPr>
                <w:rFonts w:asciiTheme="minorHAnsi" w:hAnsiTheme="minorHAnsi"/>
                <w:b/>
                <w:bCs/>
              </w:rPr>
              <w:t>Control Cost Estimates 2008$</w:t>
            </w:r>
            <w:r w:rsidRPr="00A2277A">
              <w:rPr>
                <w:rFonts w:asciiTheme="minorHAnsi" w:hAnsiTheme="minorHAnsi"/>
                <w:b/>
                <w:bCs/>
                <w:vertAlign w:val="superscript"/>
              </w:rPr>
              <w:t>a</w:t>
            </w:r>
          </w:p>
          <w:p w:rsidR="009B2F9B" w:rsidRPr="00A2277A" w:rsidRDefault="009B2F9B" w:rsidP="001B265F">
            <w:pPr>
              <w:spacing w:after="0" w:line="240" w:lineRule="auto"/>
              <w:rPr>
                <w:rFonts w:asciiTheme="minorHAnsi" w:hAnsiTheme="minorHAnsi"/>
                <w:b/>
                <w:bCs/>
              </w:rPr>
            </w:pPr>
            <w:r w:rsidRPr="00A2277A">
              <w:rPr>
                <w:rFonts w:asciiTheme="minorHAnsi" w:hAnsiTheme="minorHAnsi"/>
              </w:rPr>
              <w:t>($/ton removed)</w:t>
            </w:r>
          </w:p>
        </w:tc>
      </w:tr>
      <w:tr w:rsidR="009B2F9B" w:rsidRPr="00A2277A" w:rsidTr="00EE78E5">
        <w:trPr>
          <w:trHeight w:val="462"/>
        </w:trPr>
        <w:tc>
          <w:tcPr>
            <w:tcW w:w="1096" w:type="dxa"/>
            <w:vAlign w:val="center"/>
          </w:tcPr>
          <w:p w:rsidR="009B2F9B" w:rsidRPr="00A2277A" w:rsidRDefault="009B2F9B" w:rsidP="001B265F">
            <w:pPr>
              <w:spacing w:after="0" w:line="240" w:lineRule="auto"/>
              <w:rPr>
                <w:rFonts w:asciiTheme="minorHAnsi" w:hAnsiTheme="minorHAnsi"/>
              </w:rPr>
            </w:pPr>
            <w:r w:rsidRPr="00A2277A">
              <w:rPr>
                <w:rFonts w:asciiTheme="minorHAnsi" w:hAnsiTheme="minorHAnsi"/>
              </w:rPr>
              <w:t>Gas-Fired</w:t>
            </w:r>
          </w:p>
        </w:tc>
        <w:tc>
          <w:tcPr>
            <w:tcW w:w="1170" w:type="dxa"/>
            <w:vAlign w:val="center"/>
          </w:tcPr>
          <w:p w:rsidR="009B2F9B" w:rsidRPr="00A2277A" w:rsidRDefault="009B2F9B" w:rsidP="001B265F">
            <w:pPr>
              <w:spacing w:after="0" w:line="240" w:lineRule="auto"/>
              <w:rPr>
                <w:rFonts w:asciiTheme="minorHAnsi" w:hAnsiTheme="minorHAnsi"/>
              </w:rPr>
            </w:pPr>
            <w:r w:rsidRPr="00A2277A">
              <w:rPr>
                <w:rFonts w:asciiTheme="minorHAnsi" w:hAnsiTheme="minorHAnsi"/>
              </w:rPr>
              <w:t>NO</w:t>
            </w:r>
            <w:r w:rsidRPr="00A2277A">
              <w:rPr>
                <w:rFonts w:asciiTheme="minorHAnsi" w:hAnsiTheme="minorHAnsi"/>
                <w:vertAlign w:val="subscript"/>
              </w:rPr>
              <w:t>x</w:t>
            </w:r>
          </w:p>
        </w:tc>
        <w:tc>
          <w:tcPr>
            <w:tcW w:w="2587" w:type="dxa"/>
            <w:vAlign w:val="center"/>
          </w:tcPr>
          <w:p w:rsidR="009B2F9B" w:rsidRPr="00A2277A" w:rsidRDefault="009B2F9B" w:rsidP="001B265F">
            <w:pPr>
              <w:spacing w:after="0" w:line="240" w:lineRule="auto"/>
              <w:rPr>
                <w:rFonts w:asciiTheme="minorHAnsi" w:hAnsiTheme="minorHAnsi"/>
              </w:rPr>
            </w:pPr>
            <w:r w:rsidRPr="00A2277A">
              <w:rPr>
                <w:rFonts w:asciiTheme="minorHAnsi" w:hAnsiTheme="minorHAnsi"/>
              </w:rPr>
              <w:t>Low NO</w:t>
            </w:r>
            <w:r w:rsidRPr="00A2277A">
              <w:rPr>
                <w:rFonts w:asciiTheme="minorHAnsi" w:hAnsiTheme="minorHAnsi"/>
                <w:vertAlign w:val="subscript"/>
              </w:rPr>
              <w:t>x</w:t>
            </w:r>
            <w:r>
              <w:rPr>
                <w:rFonts w:asciiTheme="minorHAnsi" w:hAnsiTheme="minorHAnsi"/>
              </w:rPr>
              <w:t xml:space="preserve"> Burners (LNB)</w:t>
            </w:r>
          </w:p>
        </w:tc>
        <w:tc>
          <w:tcPr>
            <w:tcW w:w="1620" w:type="dxa"/>
            <w:vAlign w:val="center"/>
          </w:tcPr>
          <w:p w:rsidR="009B2F9B" w:rsidRPr="00A2277A" w:rsidRDefault="009B2F9B" w:rsidP="001B265F">
            <w:pPr>
              <w:spacing w:after="0" w:line="240" w:lineRule="auto"/>
              <w:rPr>
                <w:rFonts w:asciiTheme="minorHAnsi" w:hAnsiTheme="minorHAnsi"/>
              </w:rPr>
            </w:pPr>
            <w:r w:rsidRPr="00A2277A">
              <w:rPr>
                <w:rFonts w:asciiTheme="minorHAnsi" w:hAnsiTheme="minorHAnsi"/>
              </w:rPr>
              <w:t>0.10</w:t>
            </w:r>
          </w:p>
        </w:tc>
        <w:tc>
          <w:tcPr>
            <w:tcW w:w="1620" w:type="dxa"/>
            <w:vAlign w:val="center"/>
          </w:tcPr>
          <w:p w:rsidR="009B2F9B" w:rsidRPr="00A2277A" w:rsidRDefault="009B2F9B" w:rsidP="001B265F">
            <w:pPr>
              <w:spacing w:after="0" w:line="240" w:lineRule="auto"/>
              <w:rPr>
                <w:rFonts w:asciiTheme="minorHAnsi" w:hAnsiTheme="minorHAnsi"/>
              </w:rPr>
            </w:pPr>
            <w:r>
              <w:rPr>
                <w:rFonts w:asciiTheme="minorHAnsi" w:hAnsiTheme="minorHAnsi"/>
              </w:rPr>
              <w:t>50%</w:t>
            </w:r>
          </w:p>
        </w:tc>
        <w:tc>
          <w:tcPr>
            <w:tcW w:w="1763" w:type="dxa"/>
            <w:vAlign w:val="center"/>
          </w:tcPr>
          <w:p w:rsidR="009B2F9B" w:rsidRPr="00A2277A" w:rsidRDefault="009B2F9B" w:rsidP="001B265F">
            <w:pPr>
              <w:spacing w:after="0" w:line="240" w:lineRule="auto"/>
              <w:rPr>
                <w:rFonts w:asciiTheme="minorHAnsi" w:hAnsiTheme="minorHAnsi"/>
              </w:rPr>
            </w:pPr>
            <w:r w:rsidRPr="00A2277A">
              <w:rPr>
                <w:rFonts w:asciiTheme="minorHAnsi" w:hAnsiTheme="minorHAnsi"/>
              </w:rPr>
              <w:t>$5,460 – $21,800</w:t>
            </w:r>
          </w:p>
        </w:tc>
      </w:tr>
      <w:tr w:rsidR="009B2F9B" w:rsidRPr="00A2277A" w:rsidTr="00EE78E5">
        <w:trPr>
          <w:trHeight w:val="462"/>
        </w:trPr>
        <w:tc>
          <w:tcPr>
            <w:tcW w:w="1096" w:type="dxa"/>
            <w:vAlign w:val="center"/>
          </w:tcPr>
          <w:p w:rsidR="009B2F9B" w:rsidRPr="00A2277A" w:rsidRDefault="009B2F9B" w:rsidP="001B265F">
            <w:pPr>
              <w:spacing w:after="0" w:line="240" w:lineRule="auto"/>
              <w:rPr>
                <w:rFonts w:asciiTheme="minorHAnsi" w:hAnsiTheme="minorHAnsi"/>
              </w:rPr>
            </w:pPr>
            <w:r>
              <w:rPr>
                <w:rFonts w:asciiTheme="minorHAnsi" w:hAnsiTheme="minorHAnsi"/>
              </w:rPr>
              <w:t>Distillate Oil-Fired</w:t>
            </w:r>
          </w:p>
        </w:tc>
        <w:tc>
          <w:tcPr>
            <w:tcW w:w="1170" w:type="dxa"/>
            <w:vAlign w:val="center"/>
          </w:tcPr>
          <w:p w:rsidR="009B2F9B" w:rsidRPr="00A2277A" w:rsidRDefault="009B2F9B" w:rsidP="001B265F">
            <w:pPr>
              <w:spacing w:after="0" w:line="240" w:lineRule="auto"/>
              <w:rPr>
                <w:rFonts w:asciiTheme="minorHAnsi" w:hAnsiTheme="minorHAnsi"/>
              </w:rPr>
            </w:pPr>
            <w:r w:rsidRPr="00A2277A">
              <w:rPr>
                <w:rFonts w:asciiTheme="minorHAnsi" w:hAnsiTheme="minorHAnsi"/>
              </w:rPr>
              <w:t>NO</w:t>
            </w:r>
            <w:r w:rsidRPr="00A2277A">
              <w:rPr>
                <w:rFonts w:asciiTheme="minorHAnsi" w:hAnsiTheme="minorHAnsi"/>
                <w:vertAlign w:val="subscript"/>
              </w:rPr>
              <w:t>x</w:t>
            </w:r>
          </w:p>
        </w:tc>
        <w:tc>
          <w:tcPr>
            <w:tcW w:w="2587" w:type="dxa"/>
            <w:vAlign w:val="center"/>
          </w:tcPr>
          <w:p w:rsidR="009B2F9B" w:rsidRPr="00A2277A" w:rsidRDefault="009B2F9B" w:rsidP="001B265F">
            <w:pPr>
              <w:spacing w:after="0" w:line="240" w:lineRule="auto"/>
              <w:rPr>
                <w:rFonts w:asciiTheme="minorHAnsi" w:hAnsiTheme="minorHAnsi"/>
              </w:rPr>
            </w:pPr>
            <w:r w:rsidRPr="00A2277A">
              <w:rPr>
                <w:rFonts w:asciiTheme="minorHAnsi" w:hAnsiTheme="minorHAnsi"/>
              </w:rPr>
              <w:t>Low NO</w:t>
            </w:r>
            <w:r w:rsidRPr="00A2277A">
              <w:rPr>
                <w:rFonts w:asciiTheme="minorHAnsi" w:hAnsiTheme="minorHAnsi"/>
                <w:vertAlign w:val="subscript"/>
              </w:rPr>
              <w:t>x</w:t>
            </w:r>
            <w:r w:rsidRPr="00A2277A">
              <w:rPr>
                <w:rFonts w:asciiTheme="minorHAnsi" w:hAnsiTheme="minorHAnsi"/>
              </w:rPr>
              <w:t xml:space="preserve"> Bur</w:t>
            </w:r>
            <w:r>
              <w:rPr>
                <w:rFonts w:asciiTheme="minorHAnsi" w:hAnsiTheme="minorHAnsi"/>
              </w:rPr>
              <w:t>ners (LNB)</w:t>
            </w:r>
          </w:p>
        </w:tc>
        <w:tc>
          <w:tcPr>
            <w:tcW w:w="1620" w:type="dxa"/>
            <w:vAlign w:val="center"/>
          </w:tcPr>
          <w:p w:rsidR="009B2F9B" w:rsidRPr="00A2277A" w:rsidRDefault="009B2F9B" w:rsidP="001B265F">
            <w:pPr>
              <w:spacing w:after="0" w:line="240" w:lineRule="auto"/>
              <w:rPr>
                <w:rFonts w:asciiTheme="minorHAnsi" w:hAnsiTheme="minorHAnsi"/>
              </w:rPr>
            </w:pPr>
            <w:r w:rsidRPr="00A2277A">
              <w:rPr>
                <w:rFonts w:asciiTheme="minorHAnsi" w:hAnsiTheme="minorHAnsi"/>
              </w:rPr>
              <w:t>0.10</w:t>
            </w:r>
          </w:p>
        </w:tc>
        <w:tc>
          <w:tcPr>
            <w:tcW w:w="1620" w:type="dxa"/>
            <w:vAlign w:val="center"/>
          </w:tcPr>
          <w:p w:rsidR="009B2F9B" w:rsidRPr="00A2277A" w:rsidRDefault="009B2F9B" w:rsidP="001B265F">
            <w:pPr>
              <w:spacing w:after="0" w:line="240" w:lineRule="auto"/>
              <w:rPr>
                <w:rFonts w:asciiTheme="minorHAnsi" w:hAnsiTheme="minorHAnsi"/>
              </w:rPr>
            </w:pPr>
            <w:r>
              <w:rPr>
                <w:rFonts w:asciiTheme="minorHAnsi" w:hAnsiTheme="minorHAnsi"/>
              </w:rPr>
              <w:t>50%</w:t>
            </w:r>
          </w:p>
        </w:tc>
        <w:tc>
          <w:tcPr>
            <w:tcW w:w="1763" w:type="dxa"/>
            <w:vAlign w:val="center"/>
          </w:tcPr>
          <w:p w:rsidR="009B2F9B" w:rsidRPr="00A2277A" w:rsidRDefault="009B2F9B" w:rsidP="001B265F">
            <w:pPr>
              <w:spacing w:after="0" w:line="240" w:lineRule="auto"/>
              <w:rPr>
                <w:rFonts w:asciiTheme="minorHAnsi" w:hAnsiTheme="minorHAnsi"/>
              </w:rPr>
            </w:pPr>
            <w:r>
              <w:rPr>
                <w:rFonts w:asciiTheme="minorHAnsi" w:hAnsiTheme="minorHAnsi"/>
              </w:rPr>
              <w:t>$5,460 – $21,800</w:t>
            </w:r>
          </w:p>
        </w:tc>
      </w:tr>
      <w:tr w:rsidR="009B2F9B" w:rsidRPr="00A2277A" w:rsidTr="00EE78E5">
        <w:trPr>
          <w:trHeight w:val="451"/>
        </w:trPr>
        <w:tc>
          <w:tcPr>
            <w:tcW w:w="1096" w:type="dxa"/>
            <w:tcBorders>
              <w:bottom w:val="single" w:sz="4" w:space="0" w:color="auto"/>
            </w:tcBorders>
            <w:vAlign w:val="center"/>
          </w:tcPr>
          <w:p w:rsidR="009B2F9B" w:rsidRPr="00A2277A" w:rsidRDefault="009B2F9B" w:rsidP="001B265F">
            <w:pPr>
              <w:spacing w:after="0" w:line="240" w:lineRule="auto"/>
              <w:rPr>
                <w:rFonts w:asciiTheme="minorHAnsi" w:hAnsiTheme="minorHAnsi"/>
              </w:rPr>
            </w:pPr>
            <w:r w:rsidRPr="00A2277A">
              <w:rPr>
                <w:rFonts w:asciiTheme="minorHAnsi" w:hAnsiTheme="minorHAnsi"/>
              </w:rPr>
              <w:t>Residual Oil-Fired</w:t>
            </w:r>
          </w:p>
        </w:tc>
        <w:tc>
          <w:tcPr>
            <w:tcW w:w="1170" w:type="dxa"/>
            <w:tcBorders>
              <w:bottom w:val="single" w:sz="4" w:space="0" w:color="auto"/>
            </w:tcBorders>
            <w:vAlign w:val="center"/>
          </w:tcPr>
          <w:p w:rsidR="009B2F9B" w:rsidRPr="00A2277A" w:rsidRDefault="009B2F9B" w:rsidP="001B265F">
            <w:pPr>
              <w:spacing w:after="0" w:line="240" w:lineRule="auto"/>
              <w:rPr>
                <w:rFonts w:asciiTheme="minorHAnsi" w:hAnsiTheme="minorHAnsi"/>
              </w:rPr>
            </w:pPr>
            <w:r w:rsidRPr="00A2277A">
              <w:rPr>
                <w:rFonts w:asciiTheme="minorHAnsi" w:hAnsiTheme="minorHAnsi"/>
              </w:rPr>
              <w:t>NO</w:t>
            </w:r>
            <w:r w:rsidRPr="00A2277A">
              <w:rPr>
                <w:rFonts w:asciiTheme="minorHAnsi" w:hAnsiTheme="minorHAnsi"/>
                <w:vertAlign w:val="subscript"/>
              </w:rPr>
              <w:t>x</w:t>
            </w:r>
          </w:p>
        </w:tc>
        <w:tc>
          <w:tcPr>
            <w:tcW w:w="2587" w:type="dxa"/>
            <w:tcBorders>
              <w:bottom w:val="single" w:sz="4" w:space="0" w:color="auto"/>
            </w:tcBorders>
            <w:vAlign w:val="center"/>
          </w:tcPr>
          <w:p w:rsidR="009B2F9B" w:rsidRPr="00A2277A" w:rsidRDefault="009B2F9B" w:rsidP="001B265F">
            <w:pPr>
              <w:spacing w:after="0" w:line="240" w:lineRule="auto"/>
              <w:rPr>
                <w:rFonts w:asciiTheme="minorHAnsi" w:hAnsiTheme="minorHAnsi"/>
              </w:rPr>
            </w:pPr>
            <w:r w:rsidRPr="00A2277A">
              <w:rPr>
                <w:rFonts w:asciiTheme="minorHAnsi" w:hAnsiTheme="minorHAnsi"/>
              </w:rPr>
              <w:t>Low NO</w:t>
            </w:r>
            <w:r w:rsidRPr="00A2277A">
              <w:rPr>
                <w:rFonts w:asciiTheme="minorHAnsi" w:hAnsiTheme="minorHAnsi"/>
                <w:vertAlign w:val="subscript"/>
              </w:rPr>
              <w:t>x</w:t>
            </w:r>
            <w:r w:rsidRPr="00A2277A">
              <w:rPr>
                <w:rFonts w:asciiTheme="minorHAnsi" w:hAnsiTheme="minorHAnsi"/>
              </w:rPr>
              <w:t xml:space="preserve"> Burners (LNB)</w:t>
            </w:r>
          </w:p>
          <w:p w:rsidR="009B2F9B" w:rsidRPr="00A2277A" w:rsidRDefault="009B2F9B" w:rsidP="001B265F">
            <w:pPr>
              <w:spacing w:after="0" w:line="240" w:lineRule="auto"/>
              <w:rPr>
                <w:rFonts w:asciiTheme="minorHAnsi" w:hAnsiTheme="minorHAnsi"/>
              </w:rPr>
            </w:pPr>
            <w:r w:rsidRPr="00A2277A">
              <w:rPr>
                <w:rFonts w:asciiTheme="minorHAnsi" w:hAnsiTheme="minorHAnsi"/>
              </w:rPr>
              <w:t>LNB plus Flue Gas Recirculation (FGR)</w:t>
            </w:r>
          </w:p>
          <w:p w:rsidR="009B2F9B" w:rsidRPr="00A2277A" w:rsidRDefault="009B2F9B" w:rsidP="001B265F">
            <w:pPr>
              <w:spacing w:after="0" w:line="240" w:lineRule="auto"/>
              <w:rPr>
                <w:rFonts w:asciiTheme="minorHAnsi" w:hAnsiTheme="minorHAnsi"/>
              </w:rPr>
            </w:pPr>
            <w:r w:rsidRPr="00A2277A">
              <w:rPr>
                <w:rFonts w:asciiTheme="minorHAnsi" w:hAnsiTheme="minorHAnsi"/>
              </w:rPr>
              <w:t>Selective Non-Catalytic Reduction (SNCR)</w:t>
            </w:r>
          </w:p>
          <w:p w:rsidR="009B2F9B" w:rsidRPr="00A2277A" w:rsidRDefault="009B2F9B" w:rsidP="001B265F">
            <w:pPr>
              <w:spacing w:after="0" w:line="240" w:lineRule="auto"/>
              <w:rPr>
                <w:rFonts w:asciiTheme="minorHAnsi" w:hAnsiTheme="minorHAnsi"/>
              </w:rPr>
            </w:pPr>
            <w:r w:rsidRPr="00A2277A">
              <w:rPr>
                <w:rFonts w:asciiTheme="minorHAnsi" w:hAnsiTheme="minorHAnsi"/>
              </w:rPr>
              <w:t>LNB plus SNCR</w:t>
            </w:r>
          </w:p>
          <w:p w:rsidR="009B2F9B" w:rsidRPr="00A2277A" w:rsidRDefault="009B2F9B" w:rsidP="001B265F">
            <w:pPr>
              <w:spacing w:after="0" w:line="240" w:lineRule="auto"/>
              <w:rPr>
                <w:rFonts w:asciiTheme="minorHAnsi" w:hAnsiTheme="minorHAnsi"/>
              </w:rPr>
            </w:pPr>
            <w:r w:rsidRPr="00A2277A">
              <w:rPr>
                <w:rFonts w:asciiTheme="minorHAnsi" w:hAnsiTheme="minorHAnsi"/>
              </w:rPr>
              <w:t>Sele</w:t>
            </w:r>
            <w:r>
              <w:rPr>
                <w:rFonts w:asciiTheme="minorHAnsi" w:hAnsiTheme="minorHAnsi"/>
              </w:rPr>
              <w:t>ctive Catalytic Reduction (SCR)</w:t>
            </w:r>
          </w:p>
        </w:tc>
        <w:tc>
          <w:tcPr>
            <w:tcW w:w="1620" w:type="dxa"/>
            <w:tcBorders>
              <w:bottom w:val="single" w:sz="4" w:space="0" w:color="auto"/>
            </w:tcBorders>
            <w:vAlign w:val="center"/>
          </w:tcPr>
          <w:p w:rsidR="009B2F9B" w:rsidRPr="00A2277A" w:rsidRDefault="009B2F9B" w:rsidP="001B265F">
            <w:pPr>
              <w:spacing w:after="0" w:line="240" w:lineRule="auto"/>
              <w:rPr>
                <w:rFonts w:asciiTheme="minorHAnsi" w:hAnsiTheme="minorHAnsi"/>
              </w:rPr>
            </w:pPr>
            <w:r w:rsidRPr="00A2277A">
              <w:rPr>
                <w:rFonts w:asciiTheme="minorHAnsi" w:hAnsiTheme="minorHAnsi"/>
              </w:rPr>
              <w:t>0.20</w:t>
            </w:r>
          </w:p>
          <w:p w:rsidR="009B2F9B" w:rsidRPr="00A2277A" w:rsidRDefault="009B2F9B" w:rsidP="001B265F">
            <w:pPr>
              <w:spacing w:after="0" w:line="240" w:lineRule="auto"/>
              <w:rPr>
                <w:rFonts w:asciiTheme="minorHAnsi" w:hAnsiTheme="minorHAnsi"/>
              </w:rPr>
            </w:pPr>
            <w:r w:rsidRPr="00A2277A">
              <w:rPr>
                <w:rFonts w:asciiTheme="minorHAnsi" w:hAnsiTheme="minorHAnsi"/>
              </w:rPr>
              <w:t>0.16</w:t>
            </w:r>
          </w:p>
          <w:p w:rsidR="009B2F9B" w:rsidRPr="00A2277A" w:rsidRDefault="009B2F9B" w:rsidP="001B265F">
            <w:pPr>
              <w:spacing w:after="0" w:line="240" w:lineRule="auto"/>
              <w:rPr>
                <w:rFonts w:asciiTheme="minorHAnsi" w:hAnsiTheme="minorHAnsi"/>
              </w:rPr>
            </w:pPr>
            <w:r w:rsidRPr="00A2277A">
              <w:rPr>
                <w:rFonts w:asciiTheme="minorHAnsi" w:hAnsiTheme="minorHAnsi"/>
              </w:rPr>
              <w:t>0.20</w:t>
            </w:r>
          </w:p>
          <w:p w:rsidR="009B2F9B" w:rsidRPr="00A2277A" w:rsidRDefault="009B2F9B" w:rsidP="001B265F">
            <w:pPr>
              <w:spacing w:after="0" w:line="240" w:lineRule="auto"/>
              <w:rPr>
                <w:rFonts w:asciiTheme="minorHAnsi" w:hAnsiTheme="minorHAnsi"/>
              </w:rPr>
            </w:pPr>
            <w:r w:rsidRPr="00A2277A">
              <w:rPr>
                <w:rFonts w:asciiTheme="minorHAnsi" w:hAnsiTheme="minorHAnsi"/>
              </w:rPr>
              <w:t>0.14</w:t>
            </w:r>
          </w:p>
          <w:p w:rsidR="009B2F9B" w:rsidRPr="00A2277A" w:rsidRDefault="009B2F9B" w:rsidP="001B265F">
            <w:pPr>
              <w:spacing w:after="0" w:line="240" w:lineRule="auto"/>
              <w:rPr>
                <w:rFonts w:asciiTheme="minorHAnsi" w:hAnsiTheme="minorHAnsi"/>
              </w:rPr>
            </w:pPr>
            <w:r w:rsidRPr="00A2277A">
              <w:rPr>
                <w:rFonts w:asciiTheme="minorHAnsi" w:hAnsiTheme="minorHAnsi"/>
              </w:rPr>
              <w:t>0.0675</w:t>
            </w:r>
          </w:p>
        </w:tc>
        <w:tc>
          <w:tcPr>
            <w:tcW w:w="1620" w:type="dxa"/>
            <w:tcBorders>
              <w:bottom w:val="single" w:sz="4" w:space="0" w:color="auto"/>
            </w:tcBorders>
            <w:vAlign w:val="center"/>
          </w:tcPr>
          <w:p w:rsidR="009B2F9B" w:rsidRPr="00A2277A" w:rsidRDefault="009B2F9B" w:rsidP="001B265F">
            <w:pPr>
              <w:spacing w:after="0" w:line="240" w:lineRule="auto"/>
              <w:rPr>
                <w:rFonts w:asciiTheme="minorHAnsi" w:hAnsiTheme="minorHAnsi"/>
              </w:rPr>
            </w:pPr>
            <w:r w:rsidRPr="00A2277A">
              <w:rPr>
                <w:rFonts w:asciiTheme="minorHAnsi" w:hAnsiTheme="minorHAnsi"/>
              </w:rPr>
              <w:t>50%</w:t>
            </w:r>
          </w:p>
          <w:p w:rsidR="009B2F9B" w:rsidRPr="00A2277A" w:rsidRDefault="009B2F9B" w:rsidP="001B265F">
            <w:pPr>
              <w:spacing w:after="0" w:line="240" w:lineRule="auto"/>
              <w:rPr>
                <w:rFonts w:asciiTheme="minorHAnsi" w:hAnsiTheme="minorHAnsi"/>
              </w:rPr>
            </w:pPr>
            <w:r w:rsidRPr="00A2277A">
              <w:rPr>
                <w:rFonts w:asciiTheme="minorHAnsi" w:hAnsiTheme="minorHAnsi"/>
              </w:rPr>
              <w:t>60%</w:t>
            </w:r>
          </w:p>
          <w:p w:rsidR="009B2F9B" w:rsidRPr="00A2277A" w:rsidRDefault="009B2F9B" w:rsidP="001B265F">
            <w:pPr>
              <w:spacing w:after="0" w:line="240" w:lineRule="auto"/>
              <w:rPr>
                <w:rFonts w:asciiTheme="minorHAnsi" w:hAnsiTheme="minorHAnsi"/>
              </w:rPr>
            </w:pPr>
            <w:r w:rsidRPr="00A2277A">
              <w:rPr>
                <w:rFonts w:asciiTheme="minorHAnsi" w:hAnsiTheme="minorHAnsi"/>
              </w:rPr>
              <w:t>50%</w:t>
            </w:r>
          </w:p>
          <w:p w:rsidR="009B2F9B" w:rsidRPr="00A2277A" w:rsidRDefault="009B2F9B" w:rsidP="001B265F">
            <w:pPr>
              <w:spacing w:after="0" w:line="240" w:lineRule="auto"/>
              <w:rPr>
                <w:rFonts w:asciiTheme="minorHAnsi" w:hAnsiTheme="minorHAnsi"/>
              </w:rPr>
            </w:pPr>
            <w:r w:rsidRPr="00A2277A">
              <w:rPr>
                <w:rFonts w:asciiTheme="minorHAnsi" w:hAnsiTheme="minorHAnsi"/>
              </w:rPr>
              <w:t>65%</w:t>
            </w:r>
          </w:p>
          <w:p w:rsidR="009B2F9B" w:rsidRPr="00A2277A" w:rsidRDefault="009B2F9B" w:rsidP="001B265F">
            <w:pPr>
              <w:spacing w:after="0" w:line="240" w:lineRule="auto"/>
              <w:rPr>
                <w:rFonts w:asciiTheme="minorHAnsi" w:hAnsiTheme="minorHAnsi"/>
              </w:rPr>
            </w:pPr>
            <w:r w:rsidRPr="00A2277A">
              <w:rPr>
                <w:rFonts w:asciiTheme="minorHAnsi" w:hAnsiTheme="minorHAnsi"/>
              </w:rPr>
              <w:t>85%</w:t>
            </w:r>
          </w:p>
        </w:tc>
        <w:tc>
          <w:tcPr>
            <w:tcW w:w="1763" w:type="dxa"/>
            <w:tcBorders>
              <w:bottom w:val="single" w:sz="4" w:space="0" w:color="auto"/>
            </w:tcBorders>
            <w:vAlign w:val="center"/>
          </w:tcPr>
          <w:p w:rsidR="009B2F9B" w:rsidRPr="00A2277A" w:rsidRDefault="009B2F9B" w:rsidP="001B265F">
            <w:pPr>
              <w:spacing w:after="0" w:line="240" w:lineRule="auto"/>
              <w:rPr>
                <w:rFonts w:asciiTheme="minorHAnsi" w:hAnsiTheme="minorHAnsi"/>
              </w:rPr>
            </w:pPr>
            <w:r w:rsidRPr="00A2277A">
              <w:rPr>
                <w:rFonts w:asciiTheme="minorHAnsi" w:hAnsiTheme="minorHAnsi"/>
              </w:rPr>
              <w:t>$2,730 – $10,900</w:t>
            </w:r>
          </w:p>
          <w:p w:rsidR="009B2F9B" w:rsidRPr="00A2277A" w:rsidRDefault="009B2F9B" w:rsidP="001B265F">
            <w:pPr>
              <w:spacing w:after="0" w:line="240" w:lineRule="auto"/>
              <w:rPr>
                <w:rFonts w:asciiTheme="minorHAnsi" w:hAnsiTheme="minorHAnsi"/>
              </w:rPr>
            </w:pPr>
            <w:r w:rsidRPr="00A2277A">
              <w:rPr>
                <w:rFonts w:asciiTheme="minorHAnsi" w:hAnsiTheme="minorHAnsi"/>
              </w:rPr>
              <w:t>$6,600 – $13,400</w:t>
            </w:r>
          </w:p>
          <w:p w:rsidR="009B2F9B" w:rsidRPr="00A2277A" w:rsidRDefault="009B2F9B" w:rsidP="001B265F">
            <w:pPr>
              <w:spacing w:after="0" w:line="240" w:lineRule="auto"/>
              <w:rPr>
                <w:rFonts w:asciiTheme="minorHAnsi" w:hAnsiTheme="minorHAnsi"/>
              </w:rPr>
            </w:pPr>
            <w:r w:rsidRPr="00A2277A">
              <w:rPr>
                <w:rFonts w:asciiTheme="minorHAnsi" w:hAnsiTheme="minorHAnsi"/>
              </w:rPr>
              <w:t>$5,900 – $8,040</w:t>
            </w:r>
          </w:p>
          <w:p w:rsidR="009B2F9B" w:rsidRPr="00A2277A" w:rsidRDefault="009B2F9B" w:rsidP="001B265F">
            <w:pPr>
              <w:spacing w:after="0" w:line="240" w:lineRule="auto"/>
              <w:rPr>
                <w:rFonts w:asciiTheme="minorHAnsi" w:hAnsiTheme="minorHAnsi"/>
              </w:rPr>
            </w:pPr>
            <w:r w:rsidRPr="00A2277A">
              <w:rPr>
                <w:rFonts w:asciiTheme="minorHAnsi" w:hAnsiTheme="minorHAnsi"/>
              </w:rPr>
              <w:t>$7,370 – $14,600</w:t>
            </w:r>
          </w:p>
          <w:p w:rsidR="009B2F9B" w:rsidRPr="00A2277A" w:rsidRDefault="009B2F9B" w:rsidP="001B265F">
            <w:pPr>
              <w:spacing w:after="0" w:line="240" w:lineRule="auto"/>
              <w:rPr>
                <w:rFonts w:asciiTheme="minorHAnsi" w:hAnsiTheme="minorHAnsi"/>
              </w:rPr>
            </w:pPr>
            <w:r w:rsidRPr="00A2277A">
              <w:rPr>
                <w:rFonts w:asciiTheme="minorHAnsi" w:hAnsiTheme="minorHAnsi"/>
              </w:rPr>
              <w:t>$5,800 – $20,100</w:t>
            </w:r>
          </w:p>
        </w:tc>
      </w:tr>
    </w:tbl>
    <w:p w:rsidR="009B2F9B" w:rsidRPr="00505FA5" w:rsidRDefault="009B2F9B" w:rsidP="0081054E">
      <w:pPr>
        <w:pStyle w:val="NoSpacing"/>
        <w:rPr>
          <w:rFonts w:asciiTheme="minorHAnsi" w:hAnsiTheme="minorHAnsi"/>
          <w:sz w:val="22"/>
          <w:szCs w:val="22"/>
        </w:rPr>
      </w:pPr>
      <w:r w:rsidRPr="00505FA5">
        <w:rPr>
          <w:rFonts w:asciiTheme="minorHAnsi" w:hAnsiTheme="minorHAnsi"/>
          <w:sz w:val="22"/>
          <w:szCs w:val="22"/>
        </w:rPr>
        <w:t xml:space="preserve">Note: </w:t>
      </w:r>
      <w:r w:rsidRPr="00505FA5">
        <w:rPr>
          <w:rFonts w:asciiTheme="minorHAnsi" w:hAnsiTheme="minorHAnsi"/>
          <w:sz w:val="22"/>
          <w:szCs w:val="22"/>
          <w:vertAlign w:val="superscript"/>
        </w:rPr>
        <w:t>a</w:t>
      </w:r>
      <w:r w:rsidRPr="00505FA5">
        <w:rPr>
          <w:rFonts w:asciiTheme="minorHAnsi" w:hAnsiTheme="minorHAnsi"/>
          <w:sz w:val="22"/>
          <w:szCs w:val="22"/>
        </w:rPr>
        <w:t>Cost estimates shown are in 2008 dollars for a 100 MMBtu/hr boiler operating at 66 percent capacity and operating 8,760 hours per year</w:t>
      </w:r>
    </w:p>
    <w:p w:rsidR="009B2F9B" w:rsidRPr="00A2277A" w:rsidRDefault="0025362E" w:rsidP="0025362E">
      <w:pPr>
        <w:pStyle w:val="Heading3"/>
      </w:pPr>
      <w:bookmarkStart w:id="353" w:name="_Toc461021004"/>
      <w:bookmarkStart w:id="354" w:name="_Toc461025669"/>
      <w:bookmarkStart w:id="355" w:name="_Toc461025874"/>
      <w:bookmarkStart w:id="356" w:name="_Toc461027148"/>
      <w:r>
        <w:t>3</w:t>
      </w:r>
      <w:r w:rsidR="009B2F9B">
        <w:t>.4.5</w:t>
      </w:r>
      <w:r w:rsidR="009B2F9B">
        <w:tab/>
      </w:r>
      <w:r>
        <w:tab/>
      </w:r>
      <w:r w:rsidR="009B2F9B" w:rsidRPr="00A2277A">
        <w:t>Emissions Reduction Benefits for Other Pollutants</w:t>
      </w:r>
      <w:bookmarkEnd w:id="353"/>
      <w:bookmarkEnd w:id="354"/>
      <w:bookmarkEnd w:id="355"/>
      <w:bookmarkEnd w:id="356"/>
    </w:p>
    <w:p w:rsidR="009B2F9B" w:rsidRDefault="009B2F9B" w:rsidP="0081054E">
      <w:pPr>
        <w:pStyle w:val="NoSpacing"/>
        <w:ind w:left="360"/>
        <w:jc w:val="both"/>
        <w:rPr>
          <w:rFonts w:asciiTheme="minorHAnsi" w:hAnsiTheme="minorHAnsi"/>
        </w:rPr>
      </w:pPr>
      <w:r w:rsidRPr="00A2277A">
        <w:rPr>
          <w:rFonts w:asciiTheme="minorHAnsi" w:hAnsiTheme="minorHAnsi"/>
        </w:rPr>
        <w:t>Not applicable to this measure.</w:t>
      </w:r>
    </w:p>
    <w:p w:rsidR="009B2F9B" w:rsidRDefault="0025362E" w:rsidP="0025362E">
      <w:pPr>
        <w:pStyle w:val="Heading2"/>
      </w:pPr>
      <w:bookmarkStart w:id="357" w:name="_Toc461021005"/>
      <w:bookmarkStart w:id="358" w:name="_Toc461025670"/>
      <w:bookmarkStart w:id="359" w:name="_Toc461025875"/>
      <w:bookmarkStart w:id="360" w:name="_Toc461027149"/>
      <w:r>
        <w:t>3</w:t>
      </w:r>
      <w:r w:rsidR="009B2F9B">
        <w:t>.5</w:t>
      </w:r>
      <w:r w:rsidR="009B2F9B">
        <w:tab/>
        <w:t>Nonroad Diesel Equipment Anti-Idling</w:t>
      </w:r>
      <w:bookmarkEnd w:id="357"/>
      <w:bookmarkEnd w:id="358"/>
      <w:bookmarkEnd w:id="359"/>
      <w:bookmarkEnd w:id="360"/>
    </w:p>
    <w:p w:rsidR="009B2F9B" w:rsidRDefault="009B2F9B" w:rsidP="0081054E">
      <w:pPr>
        <w:pStyle w:val="NoSpacing"/>
        <w:spacing w:after="200"/>
        <w:jc w:val="both"/>
        <w:rPr>
          <w:rFonts w:ascii="Calibri" w:hAnsi="Calibri"/>
        </w:rPr>
      </w:pPr>
      <w:r>
        <w:rPr>
          <w:rFonts w:ascii="Calibri" w:hAnsi="Calibri"/>
        </w:rPr>
        <w:t>Emission control standards for diesel engines, and nonroad diesel engines, have lagged behind standards for other mobile sources such as passenger cars.  Because of this, diesel engines contribute disproportionately to the overall mobile source pollutant emissions inventory.  Over the last ten years, EPA has introduced a series of highway and nonroad diesel fuel quality and emission standards that when fully implemented will reduce diesel emissions from newer engines by more than 90 percent (</w:t>
      </w:r>
      <w:r>
        <w:rPr>
          <w:rFonts w:ascii="Calibri" w:hAnsi="Calibri"/>
        </w:rPr>
        <w:fldChar w:fldCharType="begin"/>
      </w:r>
      <w:r>
        <w:rPr>
          <w:rFonts w:ascii="Calibri" w:hAnsi="Calibri"/>
        </w:rPr>
        <w:instrText xml:space="preserve"> REF _Ref287529864  \* MERGEFORMAT </w:instrText>
      </w:r>
      <w:r>
        <w:rPr>
          <w:rFonts w:ascii="Calibri" w:hAnsi="Calibri"/>
        </w:rPr>
        <w:fldChar w:fldCharType="separate"/>
      </w:r>
      <w:r>
        <w:rPr>
          <w:rFonts w:ascii="Calibri" w:hAnsi="Calibri"/>
        </w:rPr>
        <w:t xml:space="preserve">Figure </w:t>
      </w:r>
      <w:r>
        <w:rPr>
          <w:rFonts w:ascii="Calibri" w:hAnsi="Calibri"/>
          <w:noProof/>
        </w:rPr>
        <w:t>1</w:t>
      </w:r>
      <w:r>
        <w:rPr>
          <w:rFonts w:ascii="Calibri" w:hAnsi="Calibri"/>
        </w:rPr>
        <w:fldChar w:fldCharType="end"/>
      </w:r>
      <w:r>
        <w:rPr>
          <w:rFonts w:ascii="Calibri" w:hAnsi="Calibri"/>
        </w:rPr>
        <w:t xml:space="preserve">, </w:t>
      </w:r>
      <w:r>
        <w:rPr>
          <w:rFonts w:ascii="Calibri" w:hAnsi="Calibri"/>
        </w:rPr>
        <w:fldChar w:fldCharType="begin"/>
      </w:r>
      <w:r>
        <w:rPr>
          <w:rFonts w:ascii="Calibri" w:hAnsi="Calibri"/>
        </w:rPr>
        <w:instrText xml:space="preserve"> REF _Ref287529868  \* MERGEFORMAT </w:instrText>
      </w:r>
      <w:r>
        <w:rPr>
          <w:rFonts w:ascii="Calibri" w:hAnsi="Calibri"/>
        </w:rPr>
        <w:fldChar w:fldCharType="separate"/>
      </w:r>
      <w:r>
        <w:rPr>
          <w:rFonts w:ascii="Calibri" w:hAnsi="Calibri"/>
        </w:rPr>
        <w:t xml:space="preserve">Figure </w:t>
      </w:r>
      <w:r>
        <w:rPr>
          <w:rFonts w:ascii="Calibri" w:hAnsi="Calibri"/>
          <w:noProof/>
        </w:rPr>
        <w:t>2</w:t>
      </w:r>
      <w:r>
        <w:rPr>
          <w:rFonts w:ascii="Calibri" w:hAnsi="Calibri"/>
        </w:rPr>
        <w:fldChar w:fldCharType="end"/>
      </w:r>
      <w:r>
        <w:rPr>
          <w:rFonts w:ascii="Calibri" w:hAnsi="Calibri"/>
        </w:rPr>
        <w:t xml:space="preserve">).  Emissions from existing engines, however, will continue to emit high levels of pollution for many years.  To begin to address this problem, states and EPA have introduced measures to reduce emissions from existing engines such as </w:t>
      </w:r>
      <w:r w:rsidR="0060782B">
        <w:rPr>
          <w:noProof/>
        </w:rPr>
        <mc:AlternateContent>
          <mc:Choice Requires="wps">
            <w:drawing>
              <wp:anchor distT="0" distB="0" distL="114300" distR="114300" simplePos="0" relativeHeight="251761664" behindDoc="0" locked="1" layoutInCell="1" allowOverlap="0" wp14:anchorId="37F0C09B" wp14:editId="2A19CA42">
                <wp:simplePos x="0" y="0"/>
                <wp:positionH relativeFrom="margin">
                  <wp:posOffset>2838450</wp:posOffset>
                </wp:positionH>
                <wp:positionV relativeFrom="bottomMargin">
                  <wp:posOffset>204470</wp:posOffset>
                </wp:positionV>
                <wp:extent cx="914400" cy="237490"/>
                <wp:effectExtent l="0" t="0" r="0" b="0"/>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237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782B" w:rsidRDefault="0060782B" w:rsidP="0060782B">
                            <w:pPr>
                              <w:ind w:right="60"/>
                              <w:rPr>
                                <w:rFonts w:asciiTheme="minorHAnsi" w:hAnsiTheme="minorHAnsi"/>
                                <w:sz w:val="20"/>
                                <w:szCs w:val="20"/>
                              </w:rPr>
                            </w:pPr>
                            <w:hyperlink w:anchor="TOC" w:history="1">
                              <w:r>
                                <w:rPr>
                                  <w:rStyle w:val="Hyperlink"/>
                                  <w:sz w:val="20"/>
                                  <w:szCs w:val="20"/>
                                </w:rPr>
                                <w:t>Back to TOC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0C09B" id="Text Box 218" o:spid="_x0000_s1067" type="#_x0000_t202" style="position:absolute;left:0;text-align:left;margin-left:223.5pt;margin-top:16.1pt;width:1in;height:18.7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a5tmAIAAK4FAAAOAAAAZHJzL2Uyb0RvYy54bWysVFFPGzEMfp+0/xDlfVxbCowTV9SBmCZV&#10;gAYTz2kuoRFJnCVp77pfj5O7K4XxwrSXOyf+bMf2Z5+dt0aTjfBBga3o+GBEibAcamUfK/rr/urL&#10;V0pCZLZmGqyo6FYEej77/OmscaWYwAp0LTxBJzaUjavoKkZXFkXgK2FYOAAnLColeMMiHv1jUXvW&#10;oHeji8lodFw04GvngYsQ8PayU9JZ9i+l4PFGyiAi0RXFt8X89fm7TN9idsbKR8/cSvH+GewfXmGY&#10;shh05+qSRUbWXv3lyijuIYCMBxxMAVIqLnIOmM149CabuxVzIueCxQluV6bw/9zy682tJ6qu6GSM&#10;rbLMYJPuRRvJN2hJusMKNS6UCLxzCI0tKrDTOdvgFsCfAkKKPUxnEBCdKtJKb9IfcyVoiE3Y7gqf&#10;4nC8PB1PpyPUcFRNDk+mp7kxxYux8yF+F2BIEirqsa/5AWyzCDGFZ+UASbECaFVfKa3zIXFJXGhP&#10;NgxZoOM45YQWr1Dakqaix4dHo+zYQjLvcNomNyKzqQ+Xsu0SzFLcapEw2v4UEquZ83wnNuNc2F38&#10;jE4oiaE+YtjjX171EeMuD7TIkcHGnbFRFnzX19clq5+GkskO3/c7dHmnEsR22WYaTY8Gxiyh3iJh&#10;PHRDFxy/Uti9BQvxlnmcMmw4bo54gx+pAasPvUTJCvyf9+4THsmPWkoanNqKht9r5gUl+ofFschE&#10;wjHPh+nRyQRj+H3Ncl9j1+YCkBJj3FGOZzHhox5E6cE84IKZp6ioYpZj7IrGQbyI3S7BBcXFfJ5B&#10;ONiOxYW9c3yYk8TN+/aBedcTOCLzr2GYb1a+4XGHTQ2yMF9HkCqTPBW6q2rfAFwKmcn9AktbZ/+c&#10;US9rdvYMAAD//wMAUEsDBBQABgAIAAAAIQBkiVlv4AAAAAkBAAAPAAAAZHJzL2Rvd25yZXYueG1s&#10;TI/BTsMwEETvSPyDtUhcKuoklEBDnAohKrWHHghcenPjJYmI15HttuHvWU7lODuj2TflarKDOKEP&#10;vSMF6TwBgdQ401Or4PNjffcEIkRNRg+OUMEPBlhV11elLow70zue6tgKLqFQaAVdjGMhZWg6tDrM&#10;3YjE3pfzVkeWvpXG6zOX20FmSZJLq3viD50e8bXD5rs+WgW7sN/M9n6zntXByC3i7m2bRqVub6aX&#10;ZxARp3gJwx8+o0PFTAd3JBPEoGCxeOQtUcF9loHgwMMy5cNBQb7MQVal/L+g+gUAAP//AwBQSwEC&#10;LQAUAAYACAAAACEAtoM4kv4AAADhAQAAEwAAAAAAAAAAAAAAAAAAAAAAW0NvbnRlbnRfVHlwZXNd&#10;LnhtbFBLAQItABQABgAIAAAAIQA4/SH/1gAAAJQBAAALAAAAAAAAAAAAAAAAAC8BAABfcmVscy8u&#10;cmVsc1BLAQItABQABgAIAAAAIQALPa5tmAIAAK4FAAAOAAAAAAAAAAAAAAAAAC4CAABkcnMvZTJv&#10;RG9jLnhtbFBLAQItABQABgAIAAAAIQBkiVlv4AAAAAkBAAAPAAAAAAAAAAAAAAAAAPIEAABkcnMv&#10;ZG93bnJldi54bWxQSwUGAAAAAAQABADzAAAA/wUAAAAA&#10;" o:allowoverlap="f" fillcolor="white [3201]" stroked="f" strokeweight=".5pt">
                <v:path arrowok="t"/>
                <v:textbox>
                  <w:txbxContent>
                    <w:p w:rsidR="0060782B" w:rsidRDefault="0060782B" w:rsidP="0060782B">
                      <w:pPr>
                        <w:ind w:right="60"/>
                        <w:rPr>
                          <w:rFonts w:asciiTheme="minorHAnsi" w:hAnsiTheme="minorHAnsi"/>
                          <w:sz w:val="20"/>
                          <w:szCs w:val="20"/>
                        </w:rPr>
                      </w:pPr>
                      <w:hyperlink w:anchor="TOC" w:history="1">
                        <w:r>
                          <w:rPr>
                            <w:rStyle w:val="Hyperlink"/>
                            <w:sz w:val="20"/>
                            <w:szCs w:val="20"/>
                          </w:rPr>
                          <w:t>Back to TOC</w:t>
                        </w:r>
                      </w:hyperlink>
                    </w:p>
                  </w:txbxContent>
                </v:textbox>
                <w10:wrap anchorx="margin" anchory="margin"/>
                <w10:anchorlock/>
              </v:shape>
            </w:pict>
          </mc:Fallback>
        </mc:AlternateContent>
      </w:r>
      <w:r>
        <w:rPr>
          <w:rFonts w:ascii="Calibri" w:hAnsi="Calibri"/>
        </w:rPr>
        <w:t>retrofit and anti-idling programs.</w:t>
      </w:r>
    </w:p>
    <w:p w:rsidR="009B2F9B" w:rsidRDefault="009B2F9B" w:rsidP="0081054E">
      <w:pPr>
        <w:pStyle w:val="NoSpacing"/>
        <w:keepNext/>
        <w:rPr>
          <w:rFonts w:ascii="Calibri" w:hAnsi="Calibri"/>
        </w:rPr>
      </w:pPr>
      <w:r>
        <w:rPr>
          <w:rFonts w:ascii="Calibri" w:hAnsi="Calibri"/>
          <w:noProof/>
        </w:rPr>
        <w:lastRenderedPageBreak/>
        <w:drawing>
          <wp:inline distT="0" distB="0" distL="0" distR="0" wp14:anchorId="4EABDEE7" wp14:editId="3293185D">
            <wp:extent cx="5943600" cy="424624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ox_Fig.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4246245"/>
                    </a:xfrm>
                    <a:prstGeom prst="rect">
                      <a:avLst/>
                    </a:prstGeom>
                  </pic:spPr>
                </pic:pic>
              </a:graphicData>
            </a:graphic>
          </wp:inline>
        </w:drawing>
      </w:r>
    </w:p>
    <w:p w:rsidR="009B2F9B" w:rsidRPr="00E041E3" w:rsidRDefault="009B2F9B" w:rsidP="0081054E">
      <w:pPr>
        <w:pStyle w:val="Caption"/>
        <w:spacing w:before="60"/>
        <w:ind w:firstLine="288"/>
        <w:jc w:val="left"/>
        <w:rPr>
          <w:rFonts w:asciiTheme="minorHAnsi" w:hAnsiTheme="minorHAnsi"/>
          <w:noProof/>
          <w:sz w:val="22"/>
          <w:szCs w:val="22"/>
        </w:rPr>
      </w:pPr>
      <w:bookmarkStart w:id="361" w:name="_Ref287529864"/>
      <w:bookmarkStart w:id="362" w:name="_Toc461102792"/>
      <w:bookmarkStart w:id="363" w:name="_Toc461106816"/>
      <w:r w:rsidRPr="00E041E3">
        <w:rPr>
          <w:rFonts w:asciiTheme="minorHAnsi" w:hAnsiTheme="minorHAnsi"/>
          <w:sz w:val="22"/>
          <w:szCs w:val="22"/>
        </w:rPr>
        <w:t>Figure</w:t>
      </w:r>
      <w:bookmarkEnd w:id="361"/>
      <w:r w:rsidR="00E041E3" w:rsidRPr="00E041E3">
        <w:rPr>
          <w:rFonts w:asciiTheme="minorHAnsi" w:hAnsiTheme="minorHAnsi"/>
          <w:sz w:val="22"/>
          <w:szCs w:val="22"/>
        </w:rPr>
        <w:t xml:space="preserve"> 3-1</w:t>
      </w:r>
      <w:r w:rsidR="00FD75BF">
        <w:rPr>
          <w:rFonts w:asciiTheme="minorHAnsi" w:hAnsiTheme="minorHAnsi"/>
          <w:sz w:val="22"/>
          <w:szCs w:val="22"/>
        </w:rPr>
        <w:tab/>
      </w:r>
      <w:r w:rsidRPr="00E041E3">
        <w:rPr>
          <w:rFonts w:asciiTheme="minorHAnsi" w:hAnsiTheme="minorHAnsi"/>
          <w:sz w:val="22"/>
          <w:szCs w:val="22"/>
        </w:rPr>
        <w:t>Diesel NO</w:t>
      </w:r>
      <w:r w:rsidRPr="00E041E3">
        <w:rPr>
          <w:rFonts w:asciiTheme="minorHAnsi" w:hAnsiTheme="minorHAnsi"/>
          <w:sz w:val="22"/>
          <w:szCs w:val="22"/>
          <w:vertAlign w:val="subscript"/>
        </w:rPr>
        <w:t>X</w:t>
      </w:r>
      <w:r w:rsidRPr="00E041E3">
        <w:rPr>
          <w:rFonts w:asciiTheme="minorHAnsi" w:hAnsiTheme="minorHAnsi"/>
          <w:sz w:val="22"/>
          <w:szCs w:val="22"/>
        </w:rPr>
        <w:t xml:space="preserve"> Emissions Standards (g/bhp-hr)</w:t>
      </w:r>
      <w:bookmarkEnd w:id="362"/>
      <w:bookmarkEnd w:id="363"/>
    </w:p>
    <w:p w:rsidR="009B2F9B" w:rsidRDefault="009B2F9B" w:rsidP="0081054E">
      <w:pPr>
        <w:pStyle w:val="NoSpacing"/>
        <w:spacing w:before="200"/>
        <w:jc w:val="both"/>
        <w:rPr>
          <w:rFonts w:ascii="Calibri" w:hAnsi="Calibri"/>
        </w:rPr>
      </w:pPr>
      <w:r>
        <w:rPr>
          <w:rFonts w:ascii="Calibri" w:hAnsi="Calibri"/>
        </w:rPr>
        <w:t xml:space="preserve">There are numerous reasons why nonroad construction equipment is left idling for extended periods: to perform work, to keep the operator warm, to keep the machine ready for work while waiting for supplies and equipment to be moved, union rules, and common practice.  Increasing amounts of data are available to assist in the development of an emissions inventory for nonroad engine idling.  Although in-use hours and emissions from nonroad equipment are estimated by EPA’s NONROAD model, the model does not provide an explicit estimate of time spent or emissions resulting from nonroad idling.  Anecdotal data and some in-use testing data are available.  Some of the in-use testing data indicate that nonroad construction equipment may </w:t>
      </w:r>
      <w:r w:rsidR="0060782B">
        <w:rPr>
          <w:noProof/>
        </w:rPr>
        <mc:AlternateContent>
          <mc:Choice Requires="wps">
            <w:drawing>
              <wp:anchor distT="0" distB="0" distL="114300" distR="114300" simplePos="0" relativeHeight="251763712" behindDoc="0" locked="1" layoutInCell="1" allowOverlap="0" wp14:anchorId="37F0C09B" wp14:editId="2A19CA42">
                <wp:simplePos x="0" y="0"/>
                <wp:positionH relativeFrom="margin">
                  <wp:posOffset>2771775</wp:posOffset>
                </wp:positionH>
                <wp:positionV relativeFrom="bottomMargin">
                  <wp:posOffset>128270</wp:posOffset>
                </wp:positionV>
                <wp:extent cx="914400" cy="237490"/>
                <wp:effectExtent l="0" t="0" r="0" b="0"/>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237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782B" w:rsidRDefault="0060782B" w:rsidP="0060782B">
                            <w:pPr>
                              <w:ind w:right="60"/>
                              <w:rPr>
                                <w:rFonts w:asciiTheme="minorHAnsi" w:hAnsiTheme="minorHAnsi"/>
                                <w:sz w:val="20"/>
                                <w:szCs w:val="20"/>
                              </w:rPr>
                            </w:pPr>
                            <w:hyperlink w:anchor="TOC" w:history="1">
                              <w:r>
                                <w:rPr>
                                  <w:rStyle w:val="Hyperlink"/>
                                  <w:sz w:val="20"/>
                                  <w:szCs w:val="20"/>
                                </w:rPr>
                                <w:t>Back to TOC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0C09B" id="Text Box 219" o:spid="_x0000_s1068" type="#_x0000_t202" style="position:absolute;left:0;text-align:left;margin-left:218.25pt;margin-top:10.1pt;width:1in;height:18.7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pI9mQIAAK4FAAAOAAAAZHJzL2Uyb0RvYy54bWysVFFPGzEMfp+0/xDlfVxbCowTV9SBmCZV&#10;gAYTz2kuoRFJnCVp77pfj5O7K4XxwrSXOyf+bMf2Z5+dt0aTjfBBga3o+GBEibAcamUfK/rr/urL&#10;V0pCZLZmGqyo6FYEej77/OmscaWYwAp0LTxBJzaUjavoKkZXFkXgK2FYOAAnLColeMMiHv1jUXvW&#10;oHeji8lodFw04GvngYsQ8PayU9JZ9i+l4PFGyiAi0RXFt8X89fm7TN9idsbKR8/cSvH+GewfXmGY&#10;shh05+qSRUbWXv3lyijuIYCMBxxMAVIqLnIOmM149CabuxVzIueCxQluV6bw/9zy682tJ6qu6GR8&#10;SollBpt0L9pIvkFL0h1WqHGhROCdQ2hsUYGdztkGtwD+FBBS7GE6g4DoVJFWepP+mCtBQ2zCdlf4&#10;FIfj5el4Oh2hhqNqcngyPc2NKV6MnQ/xuwBDklBRj33ND2CbRYgpPCsHSIoVQKv6SmmdD4lL4kJ7&#10;smHIAh3HKSe0eIXSljQVPT48GmXHFpJ5h9M2uRGZTX24lG2XYJbiVouE0fankFjNnOc7sRnnwu7i&#10;Z3RCSQz1EcMe//Kqjxh3eaBFjgw27oyNsuC7vr4uWf00lEx2+L7focs7lSC2yzbTaHo8MGYJ9RYJ&#10;46EbuuD4lcLuLViIt8zjlGHDcXPEG/xIDVh96CVKVuD/vHef8Eh+1FLS4NRWNPxeMy8o0T8sjkUm&#10;Eo55PkyPTiYYw+9rlvsauzYXgJQY445yPIsJH/UgSg/mARfMPEVFFbMcY1c0DuJF7HYJLigu5vMM&#10;wsF2LC7snePDnCRu3rcPzLuewBGZfw3DfLPyDY87bGqQhfk6glSZ5KnQXVX7BuBSyEzuF1jaOvvn&#10;jHpZs7NnAAAA//8DAFBLAwQUAAYACAAAACEAXvTKst8AAAAJAQAADwAAAGRycy9kb3ducmV2Lnht&#10;bEyPPU/DMBCGdyT+g3VILBW1G2ioQpwKISq1QwcCSzc3PpKI+BzZbhv+PccE2308eu+5cj25QZwx&#10;xN6ThsVcgUBqvO2p1fDxvrlbgYjJkDWDJ9TwjRHW1fVVaQrrL/SG5zq1gkMoFkZDl9JYSBmbDp2J&#10;cz8i8e7TB2cSt6GVNpgLh7tBZkrl0pme+EJnRnzpsPmqT07DPh62s0PYbmZ1tHKHuH/dLZLWtzfT&#10;8xOIhFP6g+FXn9WhYqejP5GNYtDwcJ8vGdWQqQwEA8uV4sGRi8ccZFXK/x9UPwAAAP//AwBQSwEC&#10;LQAUAAYACAAAACEAtoM4kv4AAADhAQAAEwAAAAAAAAAAAAAAAAAAAAAAW0NvbnRlbnRfVHlwZXNd&#10;LnhtbFBLAQItABQABgAIAAAAIQA4/SH/1gAAAJQBAAALAAAAAAAAAAAAAAAAAC8BAABfcmVscy8u&#10;cmVsc1BLAQItABQABgAIAAAAIQCcnpI9mQIAAK4FAAAOAAAAAAAAAAAAAAAAAC4CAABkcnMvZTJv&#10;RG9jLnhtbFBLAQItABQABgAIAAAAIQBe9Mqy3wAAAAkBAAAPAAAAAAAAAAAAAAAAAPMEAABkcnMv&#10;ZG93bnJldi54bWxQSwUGAAAAAAQABADzAAAA/wUAAAAA&#10;" o:allowoverlap="f" fillcolor="white [3201]" stroked="f" strokeweight=".5pt">
                <v:path arrowok="t"/>
                <v:textbox>
                  <w:txbxContent>
                    <w:p w:rsidR="0060782B" w:rsidRDefault="0060782B" w:rsidP="0060782B">
                      <w:pPr>
                        <w:ind w:right="60"/>
                        <w:rPr>
                          <w:rFonts w:asciiTheme="minorHAnsi" w:hAnsiTheme="minorHAnsi"/>
                          <w:sz w:val="20"/>
                          <w:szCs w:val="20"/>
                        </w:rPr>
                      </w:pPr>
                      <w:hyperlink w:anchor="TOC" w:history="1">
                        <w:r>
                          <w:rPr>
                            <w:rStyle w:val="Hyperlink"/>
                            <w:sz w:val="20"/>
                            <w:szCs w:val="20"/>
                          </w:rPr>
                          <w:t>Back to TOC</w:t>
                        </w:r>
                      </w:hyperlink>
                    </w:p>
                  </w:txbxContent>
                </v:textbox>
                <w10:wrap anchorx="margin" anchory="margin"/>
                <w10:anchorlock/>
              </v:shape>
            </w:pict>
          </mc:Fallback>
        </mc:AlternateContent>
      </w:r>
      <w:r>
        <w:rPr>
          <w:rFonts w:ascii="Calibri" w:hAnsi="Calibri"/>
        </w:rPr>
        <w:t xml:space="preserve">spend as much as half of in-use hours idling.  </w:t>
      </w:r>
    </w:p>
    <w:p w:rsidR="009B2F9B" w:rsidRDefault="009B2F9B" w:rsidP="0081054E">
      <w:pPr>
        <w:pStyle w:val="NoSpacing"/>
        <w:keepNext/>
      </w:pPr>
      <w:r>
        <w:rPr>
          <w:noProof/>
        </w:rPr>
        <w:lastRenderedPageBreak/>
        <w:drawing>
          <wp:inline distT="0" distB="0" distL="0" distR="0" wp14:anchorId="501A7676" wp14:editId="223F5C12">
            <wp:extent cx="5943600" cy="399669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ox_Fig_2.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3996690"/>
                    </a:xfrm>
                    <a:prstGeom prst="rect">
                      <a:avLst/>
                    </a:prstGeom>
                  </pic:spPr>
                </pic:pic>
              </a:graphicData>
            </a:graphic>
          </wp:inline>
        </w:drawing>
      </w:r>
    </w:p>
    <w:p w:rsidR="009B2F9B" w:rsidRPr="00E041E3" w:rsidRDefault="009B2F9B" w:rsidP="0081054E">
      <w:pPr>
        <w:pStyle w:val="Caption"/>
        <w:spacing w:before="60" w:after="120"/>
        <w:ind w:left="576" w:firstLine="288"/>
        <w:jc w:val="left"/>
        <w:rPr>
          <w:rFonts w:asciiTheme="minorHAnsi" w:hAnsiTheme="minorHAnsi"/>
          <w:noProof/>
          <w:sz w:val="22"/>
          <w:szCs w:val="22"/>
        </w:rPr>
      </w:pPr>
      <w:bookmarkStart w:id="364" w:name="_Ref287529868"/>
      <w:bookmarkStart w:id="365" w:name="_Toc461102793"/>
      <w:bookmarkStart w:id="366" w:name="_Toc461106817"/>
      <w:r w:rsidRPr="00E041E3">
        <w:rPr>
          <w:rFonts w:asciiTheme="minorHAnsi" w:hAnsiTheme="minorHAnsi"/>
          <w:sz w:val="22"/>
          <w:szCs w:val="22"/>
        </w:rPr>
        <w:t xml:space="preserve">Figure </w:t>
      </w:r>
      <w:r w:rsidR="00E041E3">
        <w:rPr>
          <w:rFonts w:asciiTheme="minorHAnsi" w:hAnsiTheme="minorHAnsi"/>
          <w:sz w:val="22"/>
          <w:szCs w:val="22"/>
        </w:rPr>
        <w:t>3-</w:t>
      </w:r>
      <w:r w:rsidRPr="00E041E3">
        <w:rPr>
          <w:rFonts w:asciiTheme="minorHAnsi" w:hAnsiTheme="minorHAnsi"/>
          <w:sz w:val="22"/>
          <w:szCs w:val="22"/>
        </w:rPr>
        <w:fldChar w:fldCharType="begin"/>
      </w:r>
      <w:r w:rsidRPr="00E041E3">
        <w:rPr>
          <w:rFonts w:asciiTheme="minorHAnsi" w:hAnsiTheme="minorHAnsi"/>
          <w:sz w:val="22"/>
          <w:szCs w:val="22"/>
        </w:rPr>
        <w:instrText xml:space="preserve"> SEQ Figure \* ARABIC </w:instrText>
      </w:r>
      <w:r w:rsidRPr="00E041E3">
        <w:rPr>
          <w:rFonts w:asciiTheme="minorHAnsi" w:hAnsiTheme="minorHAnsi"/>
          <w:sz w:val="22"/>
          <w:szCs w:val="22"/>
        </w:rPr>
        <w:fldChar w:fldCharType="separate"/>
      </w:r>
      <w:r w:rsidRPr="00E041E3">
        <w:rPr>
          <w:rFonts w:asciiTheme="minorHAnsi" w:hAnsiTheme="minorHAnsi"/>
          <w:noProof/>
          <w:sz w:val="22"/>
          <w:szCs w:val="22"/>
        </w:rPr>
        <w:t>2</w:t>
      </w:r>
      <w:r w:rsidRPr="00E041E3">
        <w:rPr>
          <w:rFonts w:asciiTheme="minorHAnsi" w:hAnsiTheme="minorHAnsi"/>
          <w:sz w:val="22"/>
          <w:szCs w:val="22"/>
        </w:rPr>
        <w:fldChar w:fldCharType="end"/>
      </w:r>
      <w:bookmarkEnd w:id="364"/>
      <w:r w:rsidR="00FD75BF">
        <w:rPr>
          <w:rFonts w:asciiTheme="minorHAnsi" w:hAnsiTheme="minorHAnsi"/>
          <w:sz w:val="22"/>
          <w:szCs w:val="22"/>
        </w:rPr>
        <w:tab/>
      </w:r>
      <w:r w:rsidRPr="00E041E3">
        <w:rPr>
          <w:rFonts w:asciiTheme="minorHAnsi" w:hAnsiTheme="minorHAnsi"/>
          <w:sz w:val="22"/>
          <w:szCs w:val="22"/>
        </w:rPr>
        <w:t>Diesel PM Emissions Standards (g/bhp-hr)</w:t>
      </w:r>
      <w:bookmarkEnd w:id="365"/>
      <w:bookmarkEnd w:id="366"/>
    </w:p>
    <w:p w:rsidR="009B2F9B" w:rsidRDefault="00442DB1" w:rsidP="00B31F10">
      <w:pPr>
        <w:pStyle w:val="Heading2"/>
        <w:rPr>
          <w:rFonts w:ascii="Calibri Light" w:hAnsi="Calibri Light"/>
        </w:rPr>
      </w:pPr>
      <w:bookmarkStart w:id="367" w:name="_Toc461021006"/>
      <w:bookmarkStart w:id="368" w:name="_Toc461025671"/>
      <w:bookmarkStart w:id="369" w:name="_Toc461025876"/>
      <w:bookmarkStart w:id="370" w:name="_Toc461027150"/>
      <w:r>
        <w:t>3</w:t>
      </w:r>
      <w:r w:rsidR="009B2F9B">
        <w:t>.5.1</w:t>
      </w:r>
      <w:r w:rsidR="009B2F9B">
        <w:tab/>
        <w:t>Existing Standards</w:t>
      </w:r>
      <w:bookmarkEnd w:id="367"/>
      <w:bookmarkEnd w:id="368"/>
      <w:bookmarkEnd w:id="369"/>
      <w:bookmarkEnd w:id="370"/>
    </w:p>
    <w:p w:rsidR="009B2F9B" w:rsidRDefault="009B2F9B" w:rsidP="0081054E">
      <w:pPr>
        <w:pStyle w:val="NoSpacing"/>
        <w:ind w:left="360"/>
        <w:jc w:val="both"/>
        <w:rPr>
          <w:rFonts w:ascii="Calibri" w:hAnsi="Calibri"/>
        </w:rPr>
      </w:pPr>
      <w:r>
        <w:rPr>
          <w:rFonts w:ascii="Calibri Light" w:hAnsi="Calibri Light"/>
          <w:noProof/>
        </w:rPr>
        <mc:AlternateContent>
          <mc:Choice Requires="wps">
            <w:drawing>
              <wp:anchor distT="0" distB="0" distL="114300" distR="114300" simplePos="0" relativeHeight="251659264" behindDoc="0" locked="0" layoutInCell="1" allowOverlap="1" wp14:anchorId="73BBD1CA" wp14:editId="076C1584">
                <wp:simplePos x="0" y="0"/>
                <wp:positionH relativeFrom="column">
                  <wp:posOffset>3009900</wp:posOffset>
                </wp:positionH>
                <wp:positionV relativeFrom="paragraph">
                  <wp:posOffset>39370</wp:posOffset>
                </wp:positionV>
                <wp:extent cx="2843530" cy="2924175"/>
                <wp:effectExtent l="0" t="0" r="0" b="9525"/>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3530" cy="2924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546F" w:rsidRPr="00F42D83" w:rsidRDefault="0009546F" w:rsidP="00F42D83">
                            <w:pPr>
                              <w:pStyle w:val="Caption"/>
                              <w:keepNext/>
                              <w:spacing w:after="120"/>
                              <w:rPr>
                                <w:rFonts w:asciiTheme="minorHAnsi" w:hAnsiTheme="minorHAnsi"/>
                                <w:sz w:val="22"/>
                                <w:szCs w:val="22"/>
                              </w:rPr>
                            </w:pPr>
                            <w:bookmarkStart w:id="371" w:name="_Toc461106818"/>
                            <w:r w:rsidRPr="00F42D83">
                              <w:rPr>
                                <w:rFonts w:asciiTheme="minorHAnsi" w:hAnsiTheme="minorHAnsi"/>
                                <w:sz w:val="22"/>
                                <w:szCs w:val="22"/>
                              </w:rPr>
                              <w:t>Table 3-14</w:t>
                            </w:r>
                            <w:r>
                              <w:rPr>
                                <w:rFonts w:asciiTheme="minorHAnsi" w:hAnsiTheme="minorHAnsi"/>
                                <w:sz w:val="22"/>
                                <w:szCs w:val="22"/>
                              </w:rPr>
                              <w:tab/>
                            </w:r>
                            <w:r w:rsidRPr="00F42D83">
                              <w:rPr>
                                <w:rFonts w:asciiTheme="minorHAnsi" w:hAnsiTheme="minorHAnsi"/>
                                <w:sz w:val="22"/>
                                <w:szCs w:val="22"/>
                              </w:rPr>
                              <w:t>Application of existing nonroad idling rules in the OTR</w:t>
                            </w:r>
                            <w:bookmarkEnd w:id="371"/>
                          </w:p>
                          <w:tbl>
                            <w:tblPr>
                              <w:tblW w:w="4139" w:type="dxa"/>
                              <w:tblInd w:w="93" w:type="dxa"/>
                              <w:tblCellMar>
                                <w:left w:w="0" w:type="dxa"/>
                                <w:right w:w="0" w:type="dxa"/>
                              </w:tblCellMar>
                              <w:tblLook w:val="04A0" w:firstRow="1" w:lastRow="0" w:firstColumn="1" w:lastColumn="0" w:noHBand="0" w:noVBand="1"/>
                            </w:tblPr>
                            <w:tblGrid>
                              <w:gridCol w:w="761"/>
                              <w:gridCol w:w="1349"/>
                              <w:gridCol w:w="804"/>
                              <w:gridCol w:w="1225"/>
                            </w:tblGrid>
                            <w:tr w:rsidR="0009546F" w:rsidTr="00462C12">
                              <w:trPr>
                                <w:trHeight w:val="255"/>
                              </w:trPr>
                              <w:tc>
                                <w:tcPr>
                                  <w:tcW w:w="76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9546F" w:rsidRDefault="0009546F">
                                  <w:pPr>
                                    <w:pStyle w:val="NoSpacing"/>
                                    <w:rPr>
                                      <w:rFonts w:ascii="Calibri" w:hAnsi="Calibri"/>
                                      <w:sz w:val="20"/>
                                      <w:szCs w:val="20"/>
                                    </w:rPr>
                                  </w:pPr>
                                  <w:r>
                                    <w:rPr>
                                      <w:rFonts w:ascii="Calibri" w:hAnsi="Calibri"/>
                                      <w:sz w:val="20"/>
                                      <w:szCs w:val="20"/>
                                    </w:rPr>
                                    <w:t> </w:t>
                                  </w:r>
                                </w:p>
                              </w:tc>
                              <w:tc>
                                <w:tcPr>
                                  <w:tcW w:w="3378" w:type="dxa"/>
                                  <w:gridSpan w:val="3"/>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09546F" w:rsidRDefault="0009546F">
                                  <w:pPr>
                                    <w:pStyle w:val="NoSpacing"/>
                                    <w:jc w:val="center"/>
                                    <w:rPr>
                                      <w:rFonts w:ascii="Calibri" w:hAnsi="Calibri"/>
                                      <w:sz w:val="20"/>
                                      <w:szCs w:val="20"/>
                                    </w:rPr>
                                  </w:pPr>
                                  <w:r>
                                    <w:rPr>
                                      <w:rFonts w:ascii="Calibri" w:hAnsi="Calibri"/>
                                      <w:sz w:val="20"/>
                                      <w:szCs w:val="20"/>
                                    </w:rPr>
                                    <w:t>Non Road Application</w:t>
                                  </w:r>
                                </w:p>
                              </w:tc>
                            </w:tr>
                            <w:tr w:rsidR="0009546F" w:rsidTr="00462C12">
                              <w:trPr>
                                <w:trHeight w:val="510"/>
                              </w:trPr>
                              <w:tc>
                                <w:tcPr>
                                  <w:tcW w:w="7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9546F" w:rsidRDefault="0009546F">
                                  <w:pPr>
                                    <w:rPr>
                                      <w:rFonts w:cs="Calibri"/>
                                      <w:sz w:val="20"/>
                                      <w:szCs w:val="20"/>
                                    </w:rPr>
                                  </w:pPr>
                                  <w:r>
                                    <w:rPr>
                                      <w:sz w:val="20"/>
                                      <w:szCs w:val="20"/>
                                    </w:rPr>
                                    <w:t> </w:t>
                                  </w:r>
                                </w:p>
                              </w:tc>
                              <w:tc>
                                <w:tcPr>
                                  <w:tcW w:w="134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09546F" w:rsidRDefault="0009546F">
                                  <w:pPr>
                                    <w:rPr>
                                      <w:rFonts w:cs="Calibri"/>
                                      <w:sz w:val="20"/>
                                      <w:szCs w:val="20"/>
                                    </w:rPr>
                                  </w:pPr>
                                  <w:r>
                                    <w:rPr>
                                      <w:sz w:val="20"/>
                                      <w:szCs w:val="20"/>
                                    </w:rPr>
                                    <w:t>Construction Equipment</w:t>
                                  </w:r>
                                </w:p>
                              </w:tc>
                              <w:tc>
                                <w:tcPr>
                                  <w:tcW w:w="80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9546F" w:rsidRDefault="0009546F">
                                  <w:pPr>
                                    <w:rPr>
                                      <w:rFonts w:cs="Calibri"/>
                                      <w:sz w:val="20"/>
                                      <w:szCs w:val="20"/>
                                    </w:rPr>
                                  </w:pPr>
                                  <w:r>
                                    <w:rPr>
                                      <w:sz w:val="20"/>
                                      <w:szCs w:val="20"/>
                                    </w:rPr>
                                    <w:t>Marine</w:t>
                                  </w:r>
                                </w:p>
                              </w:tc>
                              <w:tc>
                                <w:tcPr>
                                  <w:tcW w:w="122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9546F" w:rsidRDefault="0009546F">
                                  <w:pPr>
                                    <w:rPr>
                                      <w:rFonts w:cs="Calibri"/>
                                      <w:sz w:val="20"/>
                                      <w:szCs w:val="20"/>
                                    </w:rPr>
                                  </w:pPr>
                                  <w:r>
                                    <w:rPr>
                                      <w:sz w:val="20"/>
                                      <w:szCs w:val="20"/>
                                    </w:rPr>
                                    <w:t>Locomotive</w:t>
                                  </w:r>
                                </w:p>
                              </w:tc>
                            </w:tr>
                            <w:tr w:rsidR="0009546F" w:rsidTr="00462C12">
                              <w:trPr>
                                <w:trHeight w:val="255"/>
                              </w:trPr>
                              <w:tc>
                                <w:tcPr>
                                  <w:tcW w:w="7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9546F" w:rsidRDefault="0009546F">
                                  <w:pPr>
                                    <w:rPr>
                                      <w:rFonts w:cs="Calibri"/>
                                      <w:sz w:val="20"/>
                                      <w:szCs w:val="20"/>
                                    </w:rPr>
                                  </w:pPr>
                                  <w:r>
                                    <w:rPr>
                                      <w:sz w:val="20"/>
                                      <w:szCs w:val="20"/>
                                    </w:rPr>
                                    <w:t>CT</w:t>
                                  </w:r>
                                </w:p>
                              </w:tc>
                              <w:tc>
                                <w:tcPr>
                                  <w:tcW w:w="134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9546F" w:rsidRDefault="0009546F">
                                  <w:pPr>
                                    <w:rPr>
                                      <w:rFonts w:cs="Calibri"/>
                                      <w:sz w:val="20"/>
                                      <w:szCs w:val="20"/>
                                    </w:rPr>
                                  </w:pPr>
                                  <w:r>
                                    <w:rPr>
                                      <w:sz w:val="20"/>
                                      <w:szCs w:val="20"/>
                                    </w:rPr>
                                    <w:t>A</w:t>
                                  </w:r>
                                </w:p>
                              </w:tc>
                              <w:tc>
                                <w:tcPr>
                                  <w:tcW w:w="80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9546F" w:rsidRDefault="0009546F">
                                  <w:pPr>
                                    <w:rPr>
                                      <w:rFonts w:cs="Calibri"/>
                                      <w:sz w:val="20"/>
                                      <w:szCs w:val="20"/>
                                    </w:rPr>
                                  </w:pPr>
                                  <w:r>
                                    <w:rPr>
                                      <w:sz w:val="20"/>
                                      <w:szCs w:val="20"/>
                                    </w:rPr>
                                    <w:t>\</w:t>
                                  </w:r>
                                </w:p>
                              </w:tc>
                              <w:tc>
                                <w:tcPr>
                                  <w:tcW w:w="122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9546F" w:rsidRDefault="0009546F">
                                  <w:pPr>
                                    <w:rPr>
                                      <w:rFonts w:cs="Calibri"/>
                                      <w:sz w:val="20"/>
                                      <w:szCs w:val="20"/>
                                    </w:rPr>
                                  </w:pPr>
                                  <w:r>
                                    <w:rPr>
                                      <w:sz w:val="20"/>
                                      <w:szCs w:val="20"/>
                                    </w:rPr>
                                    <w:t>\</w:t>
                                  </w:r>
                                </w:p>
                              </w:tc>
                            </w:tr>
                            <w:tr w:rsidR="0009546F" w:rsidTr="00462C12">
                              <w:trPr>
                                <w:trHeight w:val="255"/>
                              </w:trPr>
                              <w:tc>
                                <w:tcPr>
                                  <w:tcW w:w="7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9546F" w:rsidRDefault="0009546F">
                                  <w:pPr>
                                    <w:rPr>
                                      <w:sz w:val="20"/>
                                      <w:szCs w:val="20"/>
                                    </w:rPr>
                                  </w:pPr>
                                  <w:r>
                                    <w:rPr>
                                      <w:sz w:val="20"/>
                                      <w:szCs w:val="20"/>
                                    </w:rPr>
                                    <w:t>MA</w:t>
                                  </w:r>
                                </w:p>
                              </w:tc>
                              <w:tc>
                                <w:tcPr>
                                  <w:tcW w:w="134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9546F" w:rsidRDefault="0009546F">
                                  <w:pPr>
                                    <w:rPr>
                                      <w:sz w:val="20"/>
                                      <w:szCs w:val="20"/>
                                    </w:rPr>
                                  </w:pPr>
                                  <w:r>
                                    <w:rPr>
                                      <w:sz w:val="20"/>
                                      <w:szCs w:val="20"/>
                                    </w:rPr>
                                    <w:t>A</w:t>
                                  </w:r>
                                </w:p>
                              </w:tc>
                              <w:tc>
                                <w:tcPr>
                                  <w:tcW w:w="80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9546F" w:rsidRDefault="0009546F">
                                  <w:pPr>
                                    <w:rPr>
                                      <w:sz w:val="20"/>
                                      <w:szCs w:val="20"/>
                                    </w:rPr>
                                  </w:pPr>
                                  <w:r>
                                    <w:rPr>
                                      <w:sz w:val="20"/>
                                      <w:szCs w:val="20"/>
                                    </w:rPr>
                                    <w:t>A</w:t>
                                  </w:r>
                                </w:p>
                              </w:tc>
                              <w:tc>
                                <w:tcPr>
                                  <w:tcW w:w="122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9546F" w:rsidRDefault="0009546F">
                                  <w:pPr>
                                    <w:rPr>
                                      <w:sz w:val="20"/>
                                      <w:szCs w:val="20"/>
                                    </w:rPr>
                                  </w:pPr>
                                  <w:r>
                                    <w:rPr>
                                      <w:sz w:val="20"/>
                                      <w:szCs w:val="20"/>
                                    </w:rPr>
                                    <w:t>A</w:t>
                                  </w:r>
                                </w:p>
                              </w:tc>
                            </w:tr>
                            <w:tr w:rsidR="0009546F" w:rsidTr="00462C12">
                              <w:trPr>
                                <w:trHeight w:val="255"/>
                              </w:trPr>
                              <w:tc>
                                <w:tcPr>
                                  <w:tcW w:w="7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9546F" w:rsidRDefault="0009546F">
                                  <w:pPr>
                                    <w:rPr>
                                      <w:rFonts w:cs="Calibri"/>
                                      <w:sz w:val="20"/>
                                      <w:szCs w:val="20"/>
                                    </w:rPr>
                                  </w:pPr>
                                  <w:r>
                                    <w:rPr>
                                      <w:sz w:val="20"/>
                                      <w:szCs w:val="20"/>
                                    </w:rPr>
                                    <w:t>NJ</w:t>
                                  </w:r>
                                </w:p>
                              </w:tc>
                              <w:tc>
                                <w:tcPr>
                                  <w:tcW w:w="134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9546F" w:rsidRDefault="0009546F">
                                  <w:pPr>
                                    <w:rPr>
                                      <w:rFonts w:cs="Calibri"/>
                                      <w:sz w:val="20"/>
                                      <w:szCs w:val="20"/>
                                    </w:rPr>
                                  </w:pPr>
                                  <w:r>
                                    <w:rPr>
                                      <w:sz w:val="20"/>
                                      <w:szCs w:val="20"/>
                                    </w:rPr>
                                    <w:t>A</w:t>
                                  </w:r>
                                </w:p>
                              </w:tc>
                              <w:tc>
                                <w:tcPr>
                                  <w:tcW w:w="80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9546F" w:rsidRDefault="0009546F">
                                  <w:pPr>
                                    <w:rPr>
                                      <w:rFonts w:cs="Calibri"/>
                                      <w:sz w:val="20"/>
                                      <w:szCs w:val="20"/>
                                    </w:rPr>
                                  </w:pPr>
                                  <w:r>
                                    <w:rPr>
                                      <w:sz w:val="20"/>
                                      <w:szCs w:val="20"/>
                                    </w:rPr>
                                    <w:t>A</w:t>
                                  </w:r>
                                </w:p>
                              </w:tc>
                              <w:tc>
                                <w:tcPr>
                                  <w:tcW w:w="122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9546F" w:rsidRDefault="0009546F">
                                  <w:pPr>
                                    <w:rPr>
                                      <w:rFonts w:cs="Calibri"/>
                                      <w:sz w:val="20"/>
                                      <w:szCs w:val="20"/>
                                    </w:rPr>
                                  </w:pPr>
                                  <w:r>
                                    <w:rPr>
                                      <w:sz w:val="20"/>
                                      <w:szCs w:val="20"/>
                                    </w:rPr>
                                    <w:t>\</w:t>
                                  </w:r>
                                </w:p>
                              </w:tc>
                            </w:tr>
                            <w:tr w:rsidR="0009546F" w:rsidTr="00462C12">
                              <w:trPr>
                                <w:trHeight w:val="255"/>
                              </w:trPr>
                              <w:tc>
                                <w:tcPr>
                                  <w:tcW w:w="7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9546F" w:rsidRDefault="0009546F">
                                  <w:pPr>
                                    <w:rPr>
                                      <w:rFonts w:cs="Calibri"/>
                                      <w:sz w:val="20"/>
                                      <w:szCs w:val="20"/>
                                    </w:rPr>
                                  </w:pPr>
                                  <w:r>
                                    <w:rPr>
                                      <w:sz w:val="20"/>
                                      <w:szCs w:val="20"/>
                                    </w:rPr>
                                    <w:t>RI</w:t>
                                  </w:r>
                                </w:p>
                              </w:tc>
                              <w:tc>
                                <w:tcPr>
                                  <w:tcW w:w="134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9546F" w:rsidRDefault="0009546F">
                                  <w:pPr>
                                    <w:rPr>
                                      <w:rFonts w:cs="Calibri"/>
                                      <w:sz w:val="20"/>
                                      <w:szCs w:val="20"/>
                                    </w:rPr>
                                  </w:pPr>
                                  <w:r>
                                    <w:rPr>
                                      <w:sz w:val="20"/>
                                      <w:szCs w:val="20"/>
                                    </w:rPr>
                                    <w:t>A</w:t>
                                  </w:r>
                                </w:p>
                              </w:tc>
                              <w:tc>
                                <w:tcPr>
                                  <w:tcW w:w="80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9546F" w:rsidRDefault="0009546F">
                                  <w:pPr>
                                    <w:rPr>
                                      <w:rFonts w:cs="Calibri"/>
                                      <w:sz w:val="20"/>
                                      <w:szCs w:val="20"/>
                                    </w:rPr>
                                  </w:pPr>
                                  <w:r>
                                    <w:rPr>
                                      <w:sz w:val="20"/>
                                      <w:szCs w:val="20"/>
                                    </w:rPr>
                                    <w:t>A</w:t>
                                  </w:r>
                                </w:p>
                              </w:tc>
                              <w:tc>
                                <w:tcPr>
                                  <w:tcW w:w="122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9546F" w:rsidRDefault="0009546F">
                                  <w:pPr>
                                    <w:rPr>
                                      <w:rFonts w:cs="Calibri"/>
                                      <w:sz w:val="20"/>
                                      <w:szCs w:val="20"/>
                                    </w:rPr>
                                  </w:pPr>
                                  <w:r>
                                    <w:rPr>
                                      <w:sz w:val="20"/>
                                      <w:szCs w:val="20"/>
                                    </w:rPr>
                                    <w:t>A</w:t>
                                  </w:r>
                                </w:p>
                              </w:tc>
                            </w:tr>
                            <w:tr w:rsidR="0009546F" w:rsidTr="00462C12">
                              <w:trPr>
                                <w:trHeight w:val="255"/>
                              </w:trPr>
                              <w:tc>
                                <w:tcPr>
                                  <w:tcW w:w="7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9546F" w:rsidRDefault="0009546F">
                                  <w:pPr>
                                    <w:rPr>
                                      <w:rFonts w:cs="Calibri"/>
                                      <w:sz w:val="20"/>
                                      <w:szCs w:val="20"/>
                                    </w:rPr>
                                  </w:pPr>
                                  <w:r>
                                    <w:rPr>
                                      <w:sz w:val="20"/>
                                      <w:szCs w:val="20"/>
                                    </w:rPr>
                                    <w:t>CARB</w:t>
                                  </w:r>
                                </w:p>
                              </w:tc>
                              <w:tc>
                                <w:tcPr>
                                  <w:tcW w:w="134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9546F" w:rsidRDefault="0009546F">
                                  <w:pPr>
                                    <w:rPr>
                                      <w:rFonts w:cs="Calibri"/>
                                      <w:sz w:val="20"/>
                                      <w:szCs w:val="20"/>
                                    </w:rPr>
                                  </w:pPr>
                                  <w:r>
                                    <w:rPr>
                                      <w:sz w:val="20"/>
                                      <w:szCs w:val="20"/>
                                    </w:rPr>
                                    <w:t>A</w:t>
                                  </w:r>
                                </w:p>
                              </w:tc>
                              <w:tc>
                                <w:tcPr>
                                  <w:tcW w:w="80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9546F" w:rsidRDefault="0009546F">
                                  <w:pPr>
                                    <w:rPr>
                                      <w:rFonts w:cs="Calibri"/>
                                      <w:sz w:val="20"/>
                                      <w:szCs w:val="20"/>
                                    </w:rPr>
                                  </w:pPr>
                                  <w:r>
                                    <w:rPr>
                                      <w:sz w:val="20"/>
                                      <w:szCs w:val="20"/>
                                    </w:rPr>
                                    <w:t>\</w:t>
                                  </w:r>
                                </w:p>
                              </w:tc>
                              <w:tc>
                                <w:tcPr>
                                  <w:tcW w:w="122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9546F" w:rsidRDefault="0009546F">
                                  <w:pPr>
                                    <w:rPr>
                                      <w:rFonts w:cs="Calibri"/>
                                      <w:sz w:val="20"/>
                                      <w:szCs w:val="20"/>
                                    </w:rPr>
                                  </w:pPr>
                                  <w:r>
                                    <w:rPr>
                                      <w:sz w:val="20"/>
                                      <w:szCs w:val="20"/>
                                    </w:rPr>
                                    <w:t>\</w:t>
                                  </w:r>
                                </w:p>
                              </w:tc>
                            </w:tr>
                          </w:tbl>
                          <w:p w:rsidR="0009546F" w:rsidRDefault="0009546F" w:rsidP="009B2F9B">
                            <w:pPr>
                              <w:pStyle w:val="NoSpacing"/>
                              <w:spacing w:before="60"/>
                              <w:ind w:firstLine="288"/>
                              <w:rPr>
                                <w:rFonts w:ascii="Calibri" w:hAnsi="Calibri"/>
                                <w:sz w:val="20"/>
                                <w:szCs w:val="20"/>
                              </w:rPr>
                            </w:pPr>
                            <w:r>
                              <w:rPr>
                                <w:rFonts w:ascii="Calibri" w:hAnsi="Calibri"/>
                                <w:sz w:val="20"/>
                                <w:szCs w:val="20"/>
                              </w:rPr>
                              <w:t>A = Rule applies to the engine application.</w:t>
                            </w:r>
                          </w:p>
                          <w:p w:rsidR="0009546F" w:rsidRDefault="0009546F" w:rsidP="00EE78E5">
                            <w:pPr>
                              <w:pStyle w:val="NoSpacing"/>
                              <w:ind w:firstLine="288"/>
                              <w:rPr>
                                <w:rFonts w:ascii="Calibri" w:hAnsi="Calibri"/>
                                <w:sz w:val="20"/>
                                <w:szCs w:val="20"/>
                              </w:rPr>
                            </w:pPr>
                            <w:r>
                              <w:rPr>
                                <w:rFonts w:ascii="Calibri" w:hAnsi="Calibri"/>
                                <w:sz w:val="20"/>
                                <w:szCs w:val="20"/>
                              </w:rPr>
                              <w:t xml:space="preserve">\ = Rule does not apply to application. </w:t>
                            </w:r>
                          </w:p>
                          <w:p w:rsidR="0009546F" w:rsidRDefault="0009546F" w:rsidP="009B2F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BBD1CA" id="Text Box 7" o:spid="_x0000_s1069" type="#_x0000_t202" style="position:absolute;left:0;text-align:left;margin-left:237pt;margin-top:3.1pt;width:223.9pt;height:23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TjrgwIAABAFAAAOAAAAZHJzL2Uyb0RvYy54bWysVNuO2yAQfa/Uf0C8Z31ZZxNbcVZ7aapK&#10;24u02w8ggGNUDBRI7O2q/94BJ9lsL1JV1Q8YmOEwM+cMi8uhk2jHrRNa1Tg7SzHiimom1KbGnx9W&#10;kzlGzhPFiNSK1/iRO3y5fP1q0ZuK57rVknGLAES5qjc1br03VZI42vKOuDNtuAJjo21HPCztJmGW&#10;9IDeySRP04uk15YZqyl3DnZvRyNeRvym4dR/bBrHPZI1hth8HG0c12FMlgtSbSwxraD7MMg/RNER&#10;oeDSI9Qt8QRtrfgFqhPUaqcbf0Z1l+imEZTHHCCbLP0pm/uWGB5zgeI4cyyT+3+w9MPuk0WC1XiG&#10;kSIdUPTAB4+u9YBmoTq9cRU43Rtw8wNsA8sxU2fuNP3ikNI3LVEbfmWt7ltOGESXhZPJydERxwWQ&#10;df9eM7iGbL2OQENju1A6KAYCdGDp8chMCIXCZj4vzqfnYKJgy8u8yGbTeAepDseNdf4t1x0Kkxpb&#10;oD7Ck92d8yEcUh1cwm1OS8FWQsq4sJv1jbRoR0Amq/jt0V+4SRWclQ7HRsRxB6KEO4ItxBtpfyqz&#10;vEiv83KyupjPJsWqmE7KWTqfpFl5XV6kRVncrr6HALOiagVjXN0JxQ8SzIq/o3jfDKN4oghRX+Ny&#10;mk9Hjv6YZBq/3yXZCQ8dKUVX4/nRiVSB2TeKQdqk8kTIcZ68DD9WGWpw+MeqRB0E6kcR+GE9AEoQ&#10;x1qzR1CE1cAXcAvPCExabb9h1ENL1th93RLLMZLvFKiqzIoi9HBcFNNZDgt7almfWoiiAFVjj9E4&#10;vfFj32+NFZsWbhp1rPQVKLERUSPPUe31C20Xk9k/EaGvT9fR6/khW/4AAAD//wMAUEsDBBQABgAI&#10;AAAAIQCN7kF73QAAAAkBAAAPAAAAZHJzL2Rvd25yZXYueG1sTI/LTsMwEEX3SPyDNUhsEHUaBYeG&#10;OBUggdj28QGTeJpExHYUu0369wwrWI7O6N5zy+1iB3GhKfTeaVivEhDkGm9612o4Hj4en0GEiM7g&#10;4B1puFKAbXV7U2Jh/Ox2dNnHVnCICwVq6GIcCylD05HFsPIjOWYnP1mMfE6tNBPOHG4HmSaJkhZ7&#10;xw0djvTeUfO9P1sNp6/54Wkz15/xmO8y9YZ9Xvur1vd3y+sLiEhL/HuGX31Wh4qdan92JohBQ5Zn&#10;vCVqUCkI5pt0zVNqBkrlIKtS/l9Q/QAAAP//AwBQSwECLQAUAAYACAAAACEAtoM4kv4AAADhAQAA&#10;EwAAAAAAAAAAAAAAAAAAAAAAW0NvbnRlbnRfVHlwZXNdLnhtbFBLAQItABQABgAIAAAAIQA4/SH/&#10;1gAAAJQBAAALAAAAAAAAAAAAAAAAAC8BAABfcmVscy8ucmVsc1BLAQItABQABgAIAAAAIQBB5Tjr&#10;gwIAABAFAAAOAAAAAAAAAAAAAAAAAC4CAABkcnMvZTJvRG9jLnhtbFBLAQItABQABgAIAAAAIQCN&#10;7kF73QAAAAkBAAAPAAAAAAAAAAAAAAAAAN0EAABkcnMvZG93bnJldi54bWxQSwUGAAAAAAQABADz&#10;AAAA5wUAAAAA&#10;" stroked="f">
                <v:textbox>
                  <w:txbxContent>
                    <w:p w:rsidR="0009546F" w:rsidRPr="00F42D83" w:rsidRDefault="0009546F" w:rsidP="00F42D83">
                      <w:pPr>
                        <w:pStyle w:val="Caption"/>
                        <w:keepNext/>
                        <w:spacing w:after="120"/>
                        <w:rPr>
                          <w:rFonts w:asciiTheme="minorHAnsi" w:hAnsiTheme="minorHAnsi"/>
                          <w:sz w:val="22"/>
                          <w:szCs w:val="22"/>
                        </w:rPr>
                      </w:pPr>
                      <w:bookmarkStart w:id="372" w:name="_Toc461106818"/>
                      <w:r w:rsidRPr="00F42D83">
                        <w:rPr>
                          <w:rFonts w:asciiTheme="minorHAnsi" w:hAnsiTheme="minorHAnsi"/>
                          <w:sz w:val="22"/>
                          <w:szCs w:val="22"/>
                        </w:rPr>
                        <w:t>Table 3-14</w:t>
                      </w:r>
                      <w:r>
                        <w:rPr>
                          <w:rFonts w:asciiTheme="minorHAnsi" w:hAnsiTheme="minorHAnsi"/>
                          <w:sz w:val="22"/>
                          <w:szCs w:val="22"/>
                        </w:rPr>
                        <w:tab/>
                      </w:r>
                      <w:r w:rsidRPr="00F42D83">
                        <w:rPr>
                          <w:rFonts w:asciiTheme="minorHAnsi" w:hAnsiTheme="minorHAnsi"/>
                          <w:sz w:val="22"/>
                          <w:szCs w:val="22"/>
                        </w:rPr>
                        <w:t>Application of existing nonroad idling rules in the OTR</w:t>
                      </w:r>
                      <w:bookmarkEnd w:id="372"/>
                    </w:p>
                    <w:tbl>
                      <w:tblPr>
                        <w:tblW w:w="4139" w:type="dxa"/>
                        <w:tblInd w:w="93" w:type="dxa"/>
                        <w:tblCellMar>
                          <w:left w:w="0" w:type="dxa"/>
                          <w:right w:w="0" w:type="dxa"/>
                        </w:tblCellMar>
                        <w:tblLook w:val="04A0" w:firstRow="1" w:lastRow="0" w:firstColumn="1" w:lastColumn="0" w:noHBand="0" w:noVBand="1"/>
                      </w:tblPr>
                      <w:tblGrid>
                        <w:gridCol w:w="761"/>
                        <w:gridCol w:w="1349"/>
                        <w:gridCol w:w="804"/>
                        <w:gridCol w:w="1225"/>
                      </w:tblGrid>
                      <w:tr w:rsidR="0009546F" w:rsidTr="00462C12">
                        <w:trPr>
                          <w:trHeight w:val="255"/>
                        </w:trPr>
                        <w:tc>
                          <w:tcPr>
                            <w:tcW w:w="76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9546F" w:rsidRDefault="0009546F">
                            <w:pPr>
                              <w:pStyle w:val="NoSpacing"/>
                              <w:rPr>
                                <w:rFonts w:ascii="Calibri" w:hAnsi="Calibri"/>
                                <w:sz w:val="20"/>
                                <w:szCs w:val="20"/>
                              </w:rPr>
                            </w:pPr>
                            <w:r>
                              <w:rPr>
                                <w:rFonts w:ascii="Calibri" w:hAnsi="Calibri"/>
                                <w:sz w:val="20"/>
                                <w:szCs w:val="20"/>
                              </w:rPr>
                              <w:t> </w:t>
                            </w:r>
                          </w:p>
                        </w:tc>
                        <w:tc>
                          <w:tcPr>
                            <w:tcW w:w="3378" w:type="dxa"/>
                            <w:gridSpan w:val="3"/>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09546F" w:rsidRDefault="0009546F">
                            <w:pPr>
                              <w:pStyle w:val="NoSpacing"/>
                              <w:jc w:val="center"/>
                              <w:rPr>
                                <w:rFonts w:ascii="Calibri" w:hAnsi="Calibri"/>
                                <w:sz w:val="20"/>
                                <w:szCs w:val="20"/>
                              </w:rPr>
                            </w:pPr>
                            <w:r>
                              <w:rPr>
                                <w:rFonts w:ascii="Calibri" w:hAnsi="Calibri"/>
                                <w:sz w:val="20"/>
                                <w:szCs w:val="20"/>
                              </w:rPr>
                              <w:t>Non Road Application</w:t>
                            </w:r>
                          </w:p>
                        </w:tc>
                      </w:tr>
                      <w:tr w:rsidR="0009546F" w:rsidTr="00462C12">
                        <w:trPr>
                          <w:trHeight w:val="510"/>
                        </w:trPr>
                        <w:tc>
                          <w:tcPr>
                            <w:tcW w:w="7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9546F" w:rsidRDefault="0009546F">
                            <w:pPr>
                              <w:rPr>
                                <w:rFonts w:cs="Calibri"/>
                                <w:sz w:val="20"/>
                                <w:szCs w:val="20"/>
                              </w:rPr>
                            </w:pPr>
                            <w:r>
                              <w:rPr>
                                <w:sz w:val="20"/>
                                <w:szCs w:val="20"/>
                              </w:rPr>
                              <w:t> </w:t>
                            </w:r>
                          </w:p>
                        </w:tc>
                        <w:tc>
                          <w:tcPr>
                            <w:tcW w:w="134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09546F" w:rsidRDefault="0009546F">
                            <w:pPr>
                              <w:rPr>
                                <w:rFonts w:cs="Calibri"/>
                                <w:sz w:val="20"/>
                                <w:szCs w:val="20"/>
                              </w:rPr>
                            </w:pPr>
                            <w:r>
                              <w:rPr>
                                <w:sz w:val="20"/>
                                <w:szCs w:val="20"/>
                              </w:rPr>
                              <w:t>Construction Equipment</w:t>
                            </w:r>
                          </w:p>
                        </w:tc>
                        <w:tc>
                          <w:tcPr>
                            <w:tcW w:w="80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9546F" w:rsidRDefault="0009546F">
                            <w:pPr>
                              <w:rPr>
                                <w:rFonts w:cs="Calibri"/>
                                <w:sz w:val="20"/>
                                <w:szCs w:val="20"/>
                              </w:rPr>
                            </w:pPr>
                            <w:r>
                              <w:rPr>
                                <w:sz w:val="20"/>
                                <w:szCs w:val="20"/>
                              </w:rPr>
                              <w:t>Marine</w:t>
                            </w:r>
                          </w:p>
                        </w:tc>
                        <w:tc>
                          <w:tcPr>
                            <w:tcW w:w="122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9546F" w:rsidRDefault="0009546F">
                            <w:pPr>
                              <w:rPr>
                                <w:rFonts w:cs="Calibri"/>
                                <w:sz w:val="20"/>
                                <w:szCs w:val="20"/>
                              </w:rPr>
                            </w:pPr>
                            <w:r>
                              <w:rPr>
                                <w:sz w:val="20"/>
                                <w:szCs w:val="20"/>
                              </w:rPr>
                              <w:t>Locomotive</w:t>
                            </w:r>
                          </w:p>
                        </w:tc>
                      </w:tr>
                      <w:tr w:rsidR="0009546F" w:rsidTr="00462C12">
                        <w:trPr>
                          <w:trHeight w:val="255"/>
                        </w:trPr>
                        <w:tc>
                          <w:tcPr>
                            <w:tcW w:w="7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9546F" w:rsidRDefault="0009546F">
                            <w:pPr>
                              <w:rPr>
                                <w:rFonts w:cs="Calibri"/>
                                <w:sz w:val="20"/>
                                <w:szCs w:val="20"/>
                              </w:rPr>
                            </w:pPr>
                            <w:r>
                              <w:rPr>
                                <w:sz w:val="20"/>
                                <w:szCs w:val="20"/>
                              </w:rPr>
                              <w:t>CT</w:t>
                            </w:r>
                          </w:p>
                        </w:tc>
                        <w:tc>
                          <w:tcPr>
                            <w:tcW w:w="134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9546F" w:rsidRDefault="0009546F">
                            <w:pPr>
                              <w:rPr>
                                <w:rFonts w:cs="Calibri"/>
                                <w:sz w:val="20"/>
                                <w:szCs w:val="20"/>
                              </w:rPr>
                            </w:pPr>
                            <w:r>
                              <w:rPr>
                                <w:sz w:val="20"/>
                                <w:szCs w:val="20"/>
                              </w:rPr>
                              <w:t>A</w:t>
                            </w:r>
                          </w:p>
                        </w:tc>
                        <w:tc>
                          <w:tcPr>
                            <w:tcW w:w="80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9546F" w:rsidRDefault="0009546F">
                            <w:pPr>
                              <w:rPr>
                                <w:rFonts w:cs="Calibri"/>
                                <w:sz w:val="20"/>
                                <w:szCs w:val="20"/>
                              </w:rPr>
                            </w:pPr>
                            <w:r>
                              <w:rPr>
                                <w:sz w:val="20"/>
                                <w:szCs w:val="20"/>
                              </w:rPr>
                              <w:t>\</w:t>
                            </w:r>
                          </w:p>
                        </w:tc>
                        <w:tc>
                          <w:tcPr>
                            <w:tcW w:w="122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9546F" w:rsidRDefault="0009546F">
                            <w:pPr>
                              <w:rPr>
                                <w:rFonts w:cs="Calibri"/>
                                <w:sz w:val="20"/>
                                <w:szCs w:val="20"/>
                              </w:rPr>
                            </w:pPr>
                            <w:r>
                              <w:rPr>
                                <w:sz w:val="20"/>
                                <w:szCs w:val="20"/>
                              </w:rPr>
                              <w:t>\</w:t>
                            </w:r>
                          </w:p>
                        </w:tc>
                      </w:tr>
                      <w:tr w:rsidR="0009546F" w:rsidTr="00462C12">
                        <w:trPr>
                          <w:trHeight w:val="255"/>
                        </w:trPr>
                        <w:tc>
                          <w:tcPr>
                            <w:tcW w:w="7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9546F" w:rsidRDefault="0009546F">
                            <w:pPr>
                              <w:rPr>
                                <w:sz w:val="20"/>
                                <w:szCs w:val="20"/>
                              </w:rPr>
                            </w:pPr>
                            <w:r>
                              <w:rPr>
                                <w:sz w:val="20"/>
                                <w:szCs w:val="20"/>
                              </w:rPr>
                              <w:t>MA</w:t>
                            </w:r>
                          </w:p>
                        </w:tc>
                        <w:tc>
                          <w:tcPr>
                            <w:tcW w:w="134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9546F" w:rsidRDefault="0009546F">
                            <w:pPr>
                              <w:rPr>
                                <w:sz w:val="20"/>
                                <w:szCs w:val="20"/>
                              </w:rPr>
                            </w:pPr>
                            <w:r>
                              <w:rPr>
                                <w:sz w:val="20"/>
                                <w:szCs w:val="20"/>
                              </w:rPr>
                              <w:t>A</w:t>
                            </w:r>
                          </w:p>
                        </w:tc>
                        <w:tc>
                          <w:tcPr>
                            <w:tcW w:w="80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9546F" w:rsidRDefault="0009546F">
                            <w:pPr>
                              <w:rPr>
                                <w:sz w:val="20"/>
                                <w:szCs w:val="20"/>
                              </w:rPr>
                            </w:pPr>
                            <w:r>
                              <w:rPr>
                                <w:sz w:val="20"/>
                                <w:szCs w:val="20"/>
                              </w:rPr>
                              <w:t>A</w:t>
                            </w:r>
                          </w:p>
                        </w:tc>
                        <w:tc>
                          <w:tcPr>
                            <w:tcW w:w="122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9546F" w:rsidRDefault="0009546F">
                            <w:pPr>
                              <w:rPr>
                                <w:sz w:val="20"/>
                                <w:szCs w:val="20"/>
                              </w:rPr>
                            </w:pPr>
                            <w:r>
                              <w:rPr>
                                <w:sz w:val="20"/>
                                <w:szCs w:val="20"/>
                              </w:rPr>
                              <w:t>A</w:t>
                            </w:r>
                          </w:p>
                        </w:tc>
                      </w:tr>
                      <w:tr w:rsidR="0009546F" w:rsidTr="00462C12">
                        <w:trPr>
                          <w:trHeight w:val="255"/>
                        </w:trPr>
                        <w:tc>
                          <w:tcPr>
                            <w:tcW w:w="7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9546F" w:rsidRDefault="0009546F">
                            <w:pPr>
                              <w:rPr>
                                <w:rFonts w:cs="Calibri"/>
                                <w:sz w:val="20"/>
                                <w:szCs w:val="20"/>
                              </w:rPr>
                            </w:pPr>
                            <w:r>
                              <w:rPr>
                                <w:sz w:val="20"/>
                                <w:szCs w:val="20"/>
                              </w:rPr>
                              <w:t>NJ</w:t>
                            </w:r>
                          </w:p>
                        </w:tc>
                        <w:tc>
                          <w:tcPr>
                            <w:tcW w:w="134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9546F" w:rsidRDefault="0009546F">
                            <w:pPr>
                              <w:rPr>
                                <w:rFonts w:cs="Calibri"/>
                                <w:sz w:val="20"/>
                                <w:szCs w:val="20"/>
                              </w:rPr>
                            </w:pPr>
                            <w:r>
                              <w:rPr>
                                <w:sz w:val="20"/>
                                <w:szCs w:val="20"/>
                              </w:rPr>
                              <w:t>A</w:t>
                            </w:r>
                          </w:p>
                        </w:tc>
                        <w:tc>
                          <w:tcPr>
                            <w:tcW w:w="80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9546F" w:rsidRDefault="0009546F">
                            <w:pPr>
                              <w:rPr>
                                <w:rFonts w:cs="Calibri"/>
                                <w:sz w:val="20"/>
                                <w:szCs w:val="20"/>
                              </w:rPr>
                            </w:pPr>
                            <w:r>
                              <w:rPr>
                                <w:sz w:val="20"/>
                                <w:szCs w:val="20"/>
                              </w:rPr>
                              <w:t>A</w:t>
                            </w:r>
                          </w:p>
                        </w:tc>
                        <w:tc>
                          <w:tcPr>
                            <w:tcW w:w="122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9546F" w:rsidRDefault="0009546F">
                            <w:pPr>
                              <w:rPr>
                                <w:rFonts w:cs="Calibri"/>
                                <w:sz w:val="20"/>
                                <w:szCs w:val="20"/>
                              </w:rPr>
                            </w:pPr>
                            <w:r>
                              <w:rPr>
                                <w:sz w:val="20"/>
                                <w:szCs w:val="20"/>
                              </w:rPr>
                              <w:t>\</w:t>
                            </w:r>
                          </w:p>
                        </w:tc>
                      </w:tr>
                      <w:tr w:rsidR="0009546F" w:rsidTr="00462C12">
                        <w:trPr>
                          <w:trHeight w:val="255"/>
                        </w:trPr>
                        <w:tc>
                          <w:tcPr>
                            <w:tcW w:w="7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9546F" w:rsidRDefault="0009546F">
                            <w:pPr>
                              <w:rPr>
                                <w:rFonts w:cs="Calibri"/>
                                <w:sz w:val="20"/>
                                <w:szCs w:val="20"/>
                              </w:rPr>
                            </w:pPr>
                            <w:r>
                              <w:rPr>
                                <w:sz w:val="20"/>
                                <w:szCs w:val="20"/>
                              </w:rPr>
                              <w:t>RI</w:t>
                            </w:r>
                          </w:p>
                        </w:tc>
                        <w:tc>
                          <w:tcPr>
                            <w:tcW w:w="134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9546F" w:rsidRDefault="0009546F">
                            <w:pPr>
                              <w:rPr>
                                <w:rFonts w:cs="Calibri"/>
                                <w:sz w:val="20"/>
                                <w:szCs w:val="20"/>
                              </w:rPr>
                            </w:pPr>
                            <w:r>
                              <w:rPr>
                                <w:sz w:val="20"/>
                                <w:szCs w:val="20"/>
                              </w:rPr>
                              <w:t>A</w:t>
                            </w:r>
                          </w:p>
                        </w:tc>
                        <w:tc>
                          <w:tcPr>
                            <w:tcW w:w="80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9546F" w:rsidRDefault="0009546F">
                            <w:pPr>
                              <w:rPr>
                                <w:rFonts w:cs="Calibri"/>
                                <w:sz w:val="20"/>
                                <w:szCs w:val="20"/>
                              </w:rPr>
                            </w:pPr>
                            <w:r>
                              <w:rPr>
                                <w:sz w:val="20"/>
                                <w:szCs w:val="20"/>
                              </w:rPr>
                              <w:t>A</w:t>
                            </w:r>
                          </w:p>
                        </w:tc>
                        <w:tc>
                          <w:tcPr>
                            <w:tcW w:w="122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9546F" w:rsidRDefault="0009546F">
                            <w:pPr>
                              <w:rPr>
                                <w:rFonts w:cs="Calibri"/>
                                <w:sz w:val="20"/>
                                <w:szCs w:val="20"/>
                              </w:rPr>
                            </w:pPr>
                            <w:r>
                              <w:rPr>
                                <w:sz w:val="20"/>
                                <w:szCs w:val="20"/>
                              </w:rPr>
                              <w:t>A</w:t>
                            </w:r>
                          </w:p>
                        </w:tc>
                      </w:tr>
                      <w:tr w:rsidR="0009546F" w:rsidTr="00462C12">
                        <w:trPr>
                          <w:trHeight w:val="255"/>
                        </w:trPr>
                        <w:tc>
                          <w:tcPr>
                            <w:tcW w:w="76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09546F" w:rsidRDefault="0009546F">
                            <w:pPr>
                              <w:rPr>
                                <w:rFonts w:cs="Calibri"/>
                                <w:sz w:val="20"/>
                                <w:szCs w:val="20"/>
                              </w:rPr>
                            </w:pPr>
                            <w:r>
                              <w:rPr>
                                <w:sz w:val="20"/>
                                <w:szCs w:val="20"/>
                              </w:rPr>
                              <w:t>CARB</w:t>
                            </w:r>
                          </w:p>
                        </w:tc>
                        <w:tc>
                          <w:tcPr>
                            <w:tcW w:w="134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9546F" w:rsidRDefault="0009546F">
                            <w:pPr>
                              <w:rPr>
                                <w:rFonts w:cs="Calibri"/>
                                <w:sz w:val="20"/>
                                <w:szCs w:val="20"/>
                              </w:rPr>
                            </w:pPr>
                            <w:r>
                              <w:rPr>
                                <w:sz w:val="20"/>
                                <w:szCs w:val="20"/>
                              </w:rPr>
                              <w:t>A</w:t>
                            </w:r>
                          </w:p>
                        </w:tc>
                        <w:tc>
                          <w:tcPr>
                            <w:tcW w:w="80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9546F" w:rsidRDefault="0009546F">
                            <w:pPr>
                              <w:rPr>
                                <w:rFonts w:cs="Calibri"/>
                                <w:sz w:val="20"/>
                                <w:szCs w:val="20"/>
                              </w:rPr>
                            </w:pPr>
                            <w:r>
                              <w:rPr>
                                <w:sz w:val="20"/>
                                <w:szCs w:val="20"/>
                              </w:rPr>
                              <w:t>\</w:t>
                            </w:r>
                          </w:p>
                        </w:tc>
                        <w:tc>
                          <w:tcPr>
                            <w:tcW w:w="122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9546F" w:rsidRDefault="0009546F">
                            <w:pPr>
                              <w:rPr>
                                <w:rFonts w:cs="Calibri"/>
                                <w:sz w:val="20"/>
                                <w:szCs w:val="20"/>
                              </w:rPr>
                            </w:pPr>
                            <w:r>
                              <w:rPr>
                                <w:sz w:val="20"/>
                                <w:szCs w:val="20"/>
                              </w:rPr>
                              <w:t>\</w:t>
                            </w:r>
                          </w:p>
                        </w:tc>
                      </w:tr>
                    </w:tbl>
                    <w:p w:rsidR="0009546F" w:rsidRDefault="0009546F" w:rsidP="009B2F9B">
                      <w:pPr>
                        <w:pStyle w:val="NoSpacing"/>
                        <w:spacing w:before="60"/>
                        <w:ind w:firstLine="288"/>
                        <w:rPr>
                          <w:rFonts w:ascii="Calibri" w:hAnsi="Calibri"/>
                          <w:sz w:val="20"/>
                          <w:szCs w:val="20"/>
                        </w:rPr>
                      </w:pPr>
                      <w:r>
                        <w:rPr>
                          <w:rFonts w:ascii="Calibri" w:hAnsi="Calibri"/>
                          <w:sz w:val="20"/>
                          <w:szCs w:val="20"/>
                        </w:rPr>
                        <w:t>A = Rule applies to the engine application.</w:t>
                      </w:r>
                    </w:p>
                    <w:p w:rsidR="0009546F" w:rsidRDefault="0009546F" w:rsidP="00EE78E5">
                      <w:pPr>
                        <w:pStyle w:val="NoSpacing"/>
                        <w:ind w:firstLine="288"/>
                        <w:rPr>
                          <w:rFonts w:ascii="Calibri" w:hAnsi="Calibri"/>
                          <w:sz w:val="20"/>
                          <w:szCs w:val="20"/>
                        </w:rPr>
                      </w:pPr>
                      <w:r>
                        <w:rPr>
                          <w:rFonts w:ascii="Calibri" w:hAnsi="Calibri"/>
                          <w:sz w:val="20"/>
                          <w:szCs w:val="20"/>
                        </w:rPr>
                        <w:t xml:space="preserve">\ = Rule does not apply to application. </w:t>
                      </w:r>
                    </w:p>
                    <w:p w:rsidR="0009546F" w:rsidRDefault="0009546F" w:rsidP="009B2F9B"/>
                  </w:txbxContent>
                </v:textbox>
                <w10:wrap type="square"/>
              </v:shape>
            </w:pict>
          </mc:Fallback>
        </mc:AlternateContent>
      </w:r>
      <w:r>
        <w:rPr>
          <w:rFonts w:ascii="Calibri" w:hAnsi="Calibri"/>
        </w:rPr>
        <w:t xml:space="preserve">To date, four states (Connecticut, Massachusetts, New Jersey, and Rhode Island) in the Ozone Transport Region (OTR) place restrictions on nonroad idling.  The idling restrictions of Connecticut, Massachusetts, and Rhode Island apply respectively to “mobile sources” and “diesel engines,” both of which include nonroad construction equipment.  Connecticut explicitly exempts from its idling regulation nonroad diesel engines in marine and locomotive applications.  Conversely, Massachusetts and Rhode Island’s regulations include marine vessels and locomotives.  New Jersey’s regulation applies to nonroad construction equipment and marine engines, but not to locomotives.  Additionally, California places restrictions on nonroad idling.  California Air Resources Board (CARB)’s nonroad idling provision, like </w:t>
      </w:r>
      <w:r w:rsidR="0060782B">
        <w:rPr>
          <w:noProof/>
        </w:rPr>
        <mc:AlternateContent>
          <mc:Choice Requires="wps">
            <w:drawing>
              <wp:anchor distT="0" distB="0" distL="114300" distR="114300" simplePos="0" relativeHeight="251765760" behindDoc="0" locked="1" layoutInCell="1" allowOverlap="0" wp14:anchorId="37F0C09B" wp14:editId="2A19CA42">
                <wp:simplePos x="0" y="0"/>
                <wp:positionH relativeFrom="margin">
                  <wp:posOffset>3009900</wp:posOffset>
                </wp:positionH>
                <wp:positionV relativeFrom="bottomMargin">
                  <wp:posOffset>237490</wp:posOffset>
                </wp:positionV>
                <wp:extent cx="914400" cy="237490"/>
                <wp:effectExtent l="0" t="0" r="0" b="0"/>
                <wp:wrapNone/>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237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782B" w:rsidRDefault="0060782B" w:rsidP="0060782B">
                            <w:pPr>
                              <w:ind w:right="60"/>
                              <w:rPr>
                                <w:rFonts w:asciiTheme="minorHAnsi" w:hAnsiTheme="minorHAnsi"/>
                                <w:sz w:val="20"/>
                                <w:szCs w:val="20"/>
                              </w:rPr>
                            </w:pPr>
                            <w:hyperlink w:anchor="TOC" w:history="1">
                              <w:r>
                                <w:rPr>
                                  <w:rStyle w:val="Hyperlink"/>
                                  <w:sz w:val="20"/>
                                  <w:szCs w:val="20"/>
                                </w:rPr>
                                <w:t>Back to TOC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0C09B" id="Text Box 220" o:spid="_x0000_s1070" type="#_x0000_t202" style="position:absolute;left:0;text-align:left;margin-left:237pt;margin-top:18.7pt;width:1in;height:18.7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RMQlwIAAK4FAAAOAAAAZHJzL2Uyb0RvYy54bWysVFFPGzEMfp+0/xDlfVxbCowTV9SBmCZV&#10;gAYTz2kuoRFJnCVp77pfj5O7K4XxwrSXOyf+bMf2Z5+dt0aTjfBBga3o+GBEibAcamUfK/rr/urL&#10;V0pCZLZmGqyo6FYEej77/OmscaWYwAp0LTxBJzaUjavoKkZXFkXgK2FYOAAnLColeMMiHv1jUXvW&#10;oHeji8lodFw04GvngYsQ8PayU9JZ9i+l4PFGyiAi0RXFt8X89fm7TN9idsbKR8/cSvH+GewfXmGY&#10;shh05+qSRUbWXv3lyijuIYCMBxxMAVIqLnIOmM149CabuxVzIueCxQluV6bw/9zy682tJ6qu6GSC&#10;9bHMYJPuRRvJN2hJusMKNS6UCLxzCI0tKrDTOdvgFsCfAkKKPUxnEBCdKtJKb9IfcyVoiEG2u8Kn&#10;OBwvT8fT6Qg1HFWTw5PpaQ5bvBg7H+J3AYYkoaIe+5ofwDaLEFN4Vg6QFCuAVvWV0jofEpfEhfZk&#10;w5AFOo5TTmjxCqUtaSp6fHg0yo4tJPMOp21yIzKb+nAp2y7BLMWtFgmj7U8hsZo5z3diM86F3cXP&#10;6ISSGOojhj3+5VUfMe7yQIscGWzcGRtlwXd9fV2y+mkomezwfb9Dl3cqQWyXbabR9GRgzBLqLRLG&#10;Qzd0wfErhd1bsBBvmccpw4bj5og3+JEasPrQS5SswP957z7hkfyopaTBqa1o+L1mXlCif1gci0wk&#10;HPN8mB6dJE77fc1yX2PX5gKQEmPcUY5nMeGjHkTpwTzggpmnqKhilmPsisZBvIjdLsEFxcV8nkE4&#10;2I7Fhb1zfJiTxM379oF51xM4IvOvYZhvVr7hcYdNDbIwX0eQKpM8Fbqrat8AXAqZyf0CS1tn/5xR&#10;L2t29gwAAP//AwBQSwMEFAAGAAgAAAAhAPKLOqzgAAAACQEAAA8AAABkcnMvZG93bnJldi54bWxM&#10;j8FOwzAQRO9I/IO1SFwq6gSiJgrZVAhRqT30QODSmxsvSUS8jmy3DX+POdHj7Ixm31Tr2YziTM4P&#10;lhHSZQKCuLV64A7h82PzUIDwQbFWo2VC+CEP6/r2plKlthd+p3MTOhFL2JcKoQ9hKqX0bU9G+aWd&#10;iKP3ZZ1RIUrXSe3UJZabUT4myUoaNXD80KuJXntqv5uTQdj7w3ZxcNvNovFa7oj2b7s0IN7fzS/P&#10;IALN4T8Mf/gRHerIdLQn1l6MCFmexS0B4SnPQMTAKi3i4YiQZwXIupLXC+pfAAAA//8DAFBLAQIt&#10;ABQABgAIAAAAIQC2gziS/gAAAOEBAAATAAAAAAAAAAAAAAAAAAAAAABbQ29udGVudF9UeXBlc10u&#10;eG1sUEsBAi0AFAAGAAgAAAAhADj9If/WAAAAlAEAAAsAAAAAAAAAAAAAAAAALwEAAF9yZWxzLy5y&#10;ZWxzUEsBAi0AFAAGAAgAAAAhACUxExCXAgAArgUAAA4AAAAAAAAAAAAAAAAALgIAAGRycy9lMm9E&#10;b2MueG1sUEsBAi0AFAAGAAgAAAAhAPKLOqzgAAAACQEAAA8AAAAAAAAAAAAAAAAA8QQAAGRycy9k&#10;b3ducmV2LnhtbFBLBQYAAAAABAAEAPMAAAD+BQAAAAA=&#10;" o:allowoverlap="f" fillcolor="white [3201]" stroked="f" strokeweight=".5pt">
                <v:path arrowok="t"/>
                <v:textbox>
                  <w:txbxContent>
                    <w:p w:rsidR="0060782B" w:rsidRDefault="0060782B" w:rsidP="0060782B">
                      <w:pPr>
                        <w:ind w:right="60"/>
                        <w:rPr>
                          <w:rFonts w:asciiTheme="minorHAnsi" w:hAnsiTheme="minorHAnsi"/>
                          <w:sz w:val="20"/>
                          <w:szCs w:val="20"/>
                        </w:rPr>
                      </w:pPr>
                      <w:hyperlink w:anchor="TOC" w:history="1">
                        <w:r>
                          <w:rPr>
                            <w:rStyle w:val="Hyperlink"/>
                            <w:sz w:val="20"/>
                            <w:szCs w:val="20"/>
                          </w:rPr>
                          <w:t>Back to TOC</w:t>
                        </w:r>
                      </w:hyperlink>
                    </w:p>
                  </w:txbxContent>
                </v:textbox>
                <w10:wrap anchorx="margin" anchory="margin"/>
                <w10:anchorlock/>
              </v:shape>
            </w:pict>
          </mc:Fallback>
        </mc:AlternateContent>
      </w:r>
      <w:r>
        <w:rPr>
          <w:rFonts w:ascii="Calibri" w:hAnsi="Calibri"/>
        </w:rPr>
        <w:t>Connecticut’s does not cover marine or locomotive engines.</w:t>
      </w:r>
    </w:p>
    <w:p w:rsidR="009B2F9B" w:rsidRDefault="0025362E" w:rsidP="0025362E">
      <w:pPr>
        <w:pStyle w:val="Heading3"/>
        <w:rPr>
          <w:rFonts w:ascii="Calibri Light" w:hAnsi="Calibri Light"/>
        </w:rPr>
      </w:pPr>
      <w:bookmarkStart w:id="373" w:name="_Toc461021007"/>
      <w:bookmarkStart w:id="374" w:name="_Toc461025672"/>
      <w:bookmarkStart w:id="375" w:name="_Toc461025877"/>
      <w:bookmarkStart w:id="376" w:name="_Toc461027151"/>
      <w:r>
        <w:lastRenderedPageBreak/>
        <w:t>3</w:t>
      </w:r>
      <w:r w:rsidR="009B2F9B">
        <w:t>.5.2</w:t>
      </w:r>
      <w:r>
        <w:tab/>
      </w:r>
      <w:r w:rsidR="009B2F9B">
        <w:tab/>
        <w:t>The OTC Measure</w:t>
      </w:r>
      <w:bookmarkEnd w:id="373"/>
      <w:bookmarkEnd w:id="374"/>
      <w:bookmarkEnd w:id="375"/>
      <w:bookmarkEnd w:id="376"/>
    </w:p>
    <w:p w:rsidR="009B2F9B" w:rsidRDefault="009B2F9B" w:rsidP="0081054E">
      <w:pPr>
        <w:pStyle w:val="NoSpacing"/>
        <w:spacing w:after="120"/>
        <w:ind w:left="360"/>
        <w:jc w:val="both"/>
        <w:rPr>
          <w:rFonts w:ascii="Calibri" w:hAnsi="Calibri"/>
        </w:rPr>
      </w:pPr>
      <w:r>
        <w:rPr>
          <w:rFonts w:ascii="Calibri" w:hAnsi="Calibri"/>
        </w:rPr>
        <w:t>The OTC model rule would apply to all nonroad diesel engines, except for locomotive engines; generator sets used on locomotives; marine engines; recreational vehicles; farming equipment; military equipment when it is being used during training exercises; emergency or public safety situations; or any use of a nonroad diesel engine that is not for compensation.  This model rule was developed as a framework for each state to consider in developing rules for that individual state, based on state-specific statutory and regulatory authority.  Each state would then follow the specific rulemaking proposal and adoption processes required for their agency.</w:t>
      </w:r>
    </w:p>
    <w:p w:rsidR="009B2F9B" w:rsidRDefault="009B2F9B" w:rsidP="0081054E">
      <w:pPr>
        <w:pStyle w:val="NoSpacing"/>
        <w:ind w:left="360"/>
        <w:jc w:val="both"/>
        <w:rPr>
          <w:rFonts w:ascii="Calibri" w:hAnsi="Calibri"/>
        </w:rPr>
      </w:pPr>
      <w:r>
        <w:rPr>
          <w:rFonts w:ascii="Calibri" w:hAnsi="Calibri"/>
        </w:rPr>
        <w:t>Nonroad diesel equipment is often used in processes that require the engine to idle in order to perform a function.  Examples of this include cement agitation, operation of a boom lift, and operating hydraulic systems.  To allow this necessary flexibility to operators in order for the operators to perform their tasks and clarify situations where idling is not considered unnecessary, several exemptions are provided for in the model rule:</w:t>
      </w:r>
    </w:p>
    <w:p w:rsidR="009B2F9B" w:rsidRDefault="009B2F9B" w:rsidP="0081054E">
      <w:pPr>
        <w:pStyle w:val="NoSpacing"/>
        <w:numPr>
          <w:ilvl w:val="0"/>
          <w:numId w:val="23"/>
        </w:numPr>
        <w:ind w:left="1080"/>
        <w:jc w:val="both"/>
        <w:rPr>
          <w:rFonts w:ascii="Calibri" w:hAnsi="Calibri"/>
        </w:rPr>
      </w:pPr>
      <w:r>
        <w:rPr>
          <w:rFonts w:ascii="Calibri" w:hAnsi="Calibri"/>
        </w:rPr>
        <w:t xml:space="preserve">To ensure the safe operation of the equipment, including idling to verify that the equipment is in good working order, or other conditions specified by the equipment manufacturer in the manual or other technical document accompanying the nonroad diesel engine; </w:t>
      </w:r>
    </w:p>
    <w:p w:rsidR="009B2F9B" w:rsidRDefault="009B2F9B" w:rsidP="0081054E">
      <w:pPr>
        <w:pStyle w:val="NoSpacing"/>
        <w:numPr>
          <w:ilvl w:val="0"/>
          <w:numId w:val="23"/>
        </w:numPr>
        <w:ind w:left="1080"/>
        <w:jc w:val="both"/>
        <w:rPr>
          <w:rFonts w:ascii="Calibri" w:hAnsi="Calibri"/>
        </w:rPr>
      </w:pPr>
      <w:r>
        <w:rPr>
          <w:rFonts w:ascii="Calibri" w:hAnsi="Calibri"/>
        </w:rPr>
        <w:t xml:space="preserve">For testing, servicing, repairing, or diagnostic purposes, including regeneration of a diesel particulate filter; </w:t>
      </w:r>
    </w:p>
    <w:p w:rsidR="009B2F9B" w:rsidRDefault="009B2F9B" w:rsidP="0081054E">
      <w:pPr>
        <w:pStyle w:val="NoSpacing"/>
        <w:numPr>
          <w:ilvl w:val="0"/>
          <w:numId w:val="23"/>
        </w:numPr>
        <w:ind w:left="1080"/>
        <w:jc w:val="both"/>
        <w:rPr>
          <w:rFonts w:ascii="Calibri" w:hAnsi="Calibri"/>
        </w:rPr>
      </w:pPr>
      <w:r>
        <w:rPr>
          <w:rFonts w:ascii="Calibri" w:hAnsi="Calibri"/>
        </w:rPr>
        <w:t xml:space="preserve">For less than fifteen (15) minutes when queuing, i.e., when nonroad diesel equipment, situated in a queue of other vehicles, must intermittently move forward to perform work or a service.  This does not include the time an operator may wait motionless in line in anticipation of the start of a workday or opening of a location where work or a service will be performed. Idling will be limited to fifteen (15) minutes when queuing; </w:t>
      </w:r>
    </w:p>
    <w:p w:rsidR="009B2F9B" w:rsidRDefault="009B2F9B" w:rsidP="0081054E">
      <w:pPr>
        <w:pStyle w:val="NoSpacing"/>
        <w:numPr>
          <w:ilvl w:val="0"/>
          <w:numId w:val="23"/>
        </w:numPr>
        <w:ind w:left="1080"/>
        <w:jc w:val="both"/>
        <w:rPr>
          <w:rFonts w:ascii="Calibri" w:hAnsi="Calibri"/>
        </w:rPr>
      </w:pPr>
      <w:r>
        <w:rPr>
          <w:rFonts w:ascii="Calibri" w:hAnsi="Calibri"/>
        </w:rPr>
        <w:t>When used in an emergency or public safety capacity; and</w:t>
      </w:r>
    </w:p>
    <w:p w:rsidR="009B2F9B" w:rsidRDefault="009B2F9B" w:rsidP="0081054E">
      <w:pPr>
        <w:pStyle w:val="NoSpacing"/>
        <w:numPr>
          <w:ilvl w:val="0"/>
          <w:numId w:val="23"/>
        </w:numPr>
        <w:ind w:left="1080"/>
        <w:jc w:val="both"/>
        <w:rPr>
          <w:rFonts w:ascii="Calibri" w:hAnsi="Calibri"/>
        </w:rPr>
      </w:pPr>
      <w:r>
        <w:rPr>
          <w:rFonts w:ascii="Calibri" w:hAnsi="Calibri"/>
        </w:rPr>
        <w:t xml:space="preserve">For inspection to verify that all equipment is in good working order, if idling is required as part of the inspection.  </w:t>
      </w:r>
    </w:p>
    <w:p w:rsidR="009B2F9B" w:rsidRDefault="009B2F9B" w:rsidP="0081054E">
      <w:pPr>
        <w:pStyle w:val="NoSpacing"/>
        <w:spacing w:before="120" w:after="120"/>
        <w:ind w:left="360"/>
        <w:jc w:val="both"/>
        <w:rPr>
          <w:rFonts w:ascii="Calibri" w:hAnsi="Calibri"/>
        </w:rPr>
      </w:pPr>
      <w:r>
        <w:rPr>
          <w:rFonts w:ascii="Calibri" w:hAnsi="Calibri"/>
        </w:rPr>
        <w:t>To clarify these exemptions, and other aspects of the model rule, an accompanying guidance document was produced to help members of industry more clearly understand the exemptions.  Additionally, the guidance document will aid enforcement officers so that violations can be properly addressed.</w:t>
      </w:r>
    </w:p>
    <w:p w:rsidR="009B2F9B" w:rsidRDefault="009B2F9B" w:rsidP="0081054E">
      <w:pPr>
        <w:pStyle w:val="NoSpacing"/>
        <w:spacing w:after="120"/>
        <w:ind w:left="360"/>
        <w:jc w:val="both"/>
        <w:rPr>
          <w:rFonts w:ascii="Calibri" w:hAnsi="Calibri"/>
        </w:rPr>
      </w:pPr>
      <w:r>
        <w:rPr>
          <w:rFonts w:ascii="Calibri" w:hAnsi="Calibri"/>
        </w:rPr>
        <w:t xml:space="preserve">To ensure compliance with the rule, the model rule is structured to allow enforcement to be conducted by a municipal or local government or state agents that are granted the right to enter a property or location where a nonroad diesel engine is located.  This provides the flexibility for each state to alter the model rule in order to match their existing enforcement authority.  Also, depending on specific state statutory authority/regulations, the enforcement officer that has jurisdiction can penalize any person, entity, owner, or operator of a property or location where a nonroad diesel engine is operated, owners and operators of a nonroad diesel engine, or the holder of the permit for the activity for which the nonroad diesel engine </w:t>
      </w:r>
      <w:r w:rsidR="0060782B">
        <w:rPr>
          <w:noProof/>
        </w:rPr>
        <mc:AlternateContent>
          <mc:Choice Requires="wps">
            <w:drawing>
              <wp:anchor distT="0" distB="0" distL="114300" distR="114300" simplePos="0" relativeHeight="251767808" behindDoc="0" locked="1" layoutInCell="1" allowOverlap="0" wp14:anchorId="37F0C09B" wp14:editId="2A19CA42">
                <wp:simplePos x="0" y="0"/>
                <wp:positionH relativeFrom="margin">
                  <wp:posOffset>2800350</wp:posOffset>
                </wp:positionH>
                <wp:positionV relativeFrom="bottomMargin">
                  <wp:posOffset>211455</wp:posOffset>
                </wp:positionV>
                <wp:extent cx="914400" cy="237490"/>
                <wp:effectExtent l="0" t="0" r="0" b="0"/>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237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782B" w:rsidRDefault="0060782B" w:rsidP="0060782B">
                            <w:pPr>
                              <w:ind w:right="60"/>
                              <w:rPr>
                                <w:rFonts w:asciiTheme="minorHAnsi" w:hAnsiTheme="minorHAnsi"/>
                                <w:sz w:val="20"/>
                                <w:szCs w:val="20"/>
                              </w:rPr>
                            </w:pPr>
                            <w:hyperlink w:anchor="TOC" w:history="1">
                              <w:r>
                                <w:rPr>
                                  <w:rStyle w:val="Hyperlink"/>
                                  <w:sz w:val="20"/>
                                  <w:szCs w:val="20"/>
                                </w:rPr>
                                <w:t>Back to TOC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0C09B" id="Text Box 221" o:spid="_x0000_s1071" type="#_x0000_t202" style="position:absolute;left:0;text-align:left;margin-left:220.5pt;margin-top:16.65pt;width:1in;height:18.7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zu/lgIAAK4FAAAOAAAAZHJzL2Uyb0RvYy54bWysVEtPGzEQvlfqf7B8L5uE8FqxQSmIqlIE&#10;qFBxdrw2sbA9ru1kN/31HXt3Q6BcqHrZtT3fvL+Z84vWaLIRPiiwFR0fjCgRlkOt7FNFfz5cfzml&#10;JERma6bBiopuRaAXs8+fzhtXigmsQNfCEzRiQ9m4iq5idGVRBL4ShoUDcMKiUII3LOLVPxW1Zw1a&#10;N7qYjEbHRQO+dh64CAFfrzohnWX7Ugoeb6UMIhJdUYwt5q/P32X6FrNzVj555laK92Gwf4jCMGXR&#10;6c7UFYuMrL36y5RR3EMAGQ84mAKkVFzkHDCb8ehNNvcr5kTOBYsT3K5M4f+Z5TebO09UXdHJZEyJ&#10;ZQab9CDaSL5CS9IbVqhxoUTgvUNobFGAnc7ZBrcA/hwQUuxhOoWA6FSRVnqT/pgrQUVswnZX+OSH&#10;4+PZeDodoYSjaHJ4Mj3LjSlelJ0P8ZsAQ9Khoh77mgNgm0WIyT0rB0jyFUCr+lppnS+JS+JSe7Jh&#10;yAIdc06o8QqlLWkqenx4NMqGLST1zrK2yYzIbOrdpWy7BPMpbrVIGG1/CInVzHm+45txLuzOf0Yn&#10;lERXH1Hs8S9RfUS5ywM1smewcadslAXf9fV1yernoWSyw/f9Dl3eqQSxXbaZRtPTgTFLqLdIGA/d&#10;0AXHrxV2b8FCvGMepwwbjpsj3uJHasDqQ3+iZAX+93vvCY/kRyklDU5tRcOvNfOCEv3d4lhkIuGY&#10;58v06GSCPvy+ZLkvsWtzCUgJJD5Gl48JH/VwlB7MIy6YefKKImY5+q5oHI6XsdsluKC4mM8zCAfb&#10;sbiw944Pc5K4+dA+Mu96Akdk/g0M883KNzzusKlBFubrCFJlkqdCd1XtG4BLIXO/X2Bp6+zfM+pl&#10;zc7+AAAA//8DAFBLAwQUAAYACAAAACEApnQb0OAAAAAJAQAADwAAAGRycy9kb3ducmV2LnhtbEyP&#10;wW7CMBBE75X6D9ZW6gUVJw0UlGaDqqpIcODQlAs3Ey9J1NiObAPp33d7KsfZGc2+KVaj6cWFfOic&#10;RUinCQiytdOdbRD2X+unJYgQldWqd5YQfijAqry/K1Su3dV+0qWKjeASG3KF0MY45FKGuiWjwtQN&#10;ZNk7OW9UZOkbqb26crnp5XOSvEijOssfWjXQe0v1d3U2CLtw2EwOfrOeVEHLLdHuY5tGxMeH8e0V&#10;RKQx/ofhD5/RoWSmoztbHUSPMJulvCUiZFkGggPz5ZwPR4RFsgBZFvJ2QfkLAAD//wMAUEsBAi0A&#10;FAAGAAgAAAAhALaDOJL+AAAA4QEAABMAAAAAAAAAAAAAAAAAAAAAAFtDb250ZW50X1R5cGVzXS54&#10;bWxQSwECLQAUAAYACAAAACEAOP0h/9YAAACUAQAACwAAAAAAAAAAAAAAAAAvAQAAX3JlbHMvLnJl&#10;bHNQSwECLQAUAAYACAAAACEAcds7v5YCAACuBQAADgAAAAAAAAAAAAAAAAAuAgAAZHJzL2Uyb0Rv&#10;Yy54bWxQSwECLQAUAAYACAAAACEApnQb0OAAAAAJAQAADwAAAAAAAAAAAAAAAADwBAAAZHJzL2Rv&#10;d25yZXYueG1sUEsFBgAAAAAEAAQA8wAAAP0FAAAAAA==&#10;" o:allowoverlap="f" fillcolor="white [3201]" stroked="f" strokeweight=".5pt">
                <v:path arrowok="t"/>
                <v:textbox>
                  <w:txbxContent>
                    <w:p w:rsidR="0060782B" w:rsidRDefault="0060782B" w:rsidP="0060782B">
                      <w:pPr>
                        <w:ind w:right="60"/>
                        <w:rPr>
                          <w:rFonts w:asciiTheme="minorHAnsi" w:hAnsiTheme="minorHAnsi"/>
                          <w:sz w:val="20"/>
                          <w:szCs w:val="20"/>
                        </w:rPr>
                      </w:pPr>
                      <w:hyperlink w:anchor="TOC" w:history="1">
                        <w:r>
                          <w:rPr>
                            <w:rStyle w:val="Hyperlink"/>
                            <w:sz w:val="20"/>
                            <w:szCs w:val="20"/>
                          </w:rPr>
                          <w:t>Back to TOC</w:t>
                        </w:r>
                      </w:hyperlink>
                    </w:p>
                  </w:txbxContent>
                </v:textbox>
                <w10:wrap anchorx="margin" anchory="margin"/>
                <w10:anchorlock/>
              </v:shape>
            </w:pict>
          </mc:Fallback>
        </mc:AlternateContent>
      </w:r>
      <w:r>
        <w:rPr>
          <w:rFonts w:ascii="Calibri" w:hAnsi="Calibri"/>
        </w:rPr>
        <w:t>is being operated, for an infraction.</w:t>
      </w:r>
    </w:p>
    <w:p w:rsidR="009B2F9B" w:rsidRDefault="0025362E" w:rsidP="0025362E">
      <w:pPr>
        <w:pStyle w:val="Heading3"/>
        <w:rPr>
          <w:rFonts w:ascii="Calibri Light" w:hAnsi="Calibri Light"/>
        </w:rPr>
      </w:pPr>
      <w:bookmarkStart w:id="377" w:name="_Toc461021008"/>
      <w:bookmarkStart w:id="378" w:name="_Toc461025673"/>
      <w:bookmarkStart w:id="379" w:name="_Toc461025878"/>
      <w:bookmarkStart w:id="380" w:name="_Toc461027152"/>
      <w:r>
        <w:lastRenderedPageBreak/>
        <w:t>3</w:t>
      </w:r>
      <w:r w:rsidR="009B2F9B">
        <w:t>.5.3</w:t>
      </w:r>
      <w:r>
        <w:tab/>
      </w:r>
      <w:r w:rsidR="009B2F9B">
        <w:tab/>
        <w:t>NO</w:t>
      </w:r>
      <w:r w:rsidR="009B2F9B">
        <w:rPr>
          <w:vertAlign w:val="subscript"/>
        </w:rPr>
        <w:t>X</w:t>
      </w:r>
      <w:r w:rsidR="009B2F9B">
        <w:t xml:space="preserve"> Emissions Reduction Benefit</w:t>
      </w:r>
      <w:bookmarkEnd w:id="377"/>
      <w:bookmarkEnd w:id="378"/>
      <w:bookmarkEnd w:id="379"/>
      <w:bookmarkEnd w:id="380"/>
    </w:p>
    <w:p w:rsidR="009B2F9B" w:rsidRDefault="009B2F9B" w:rsidP="0081054E">
      <w:pPr>
        <w:pStyle w:val="NoSpacing"/>
        <w:spacing w:after="120"/>
        <w:ind w:left="360"/>
        <w:jc w:val="both"/>
        <w:rPr>
          <w:rFonts w:ascii="Calibri" w:hAnsi="Calibri"/>
        </w:rPr>
      </w:pPr>
      <w:r>
        <w:rPr>
          <w:rFonts w:ascii="Calibri" w:hAnsi="Calibri"/>
        </w:rPr>
        <w:t xml:space="preserve">Data on idling activity as compared to total usage time are scarce.  Three sources of data were relied on for this estimation: CARB, John Deere, and EPA.  To estimate the emissions benefit for its nonroad idling rule, CARB asked individuals with significant experience in the industry to estimate the time off-road construction equipment spends idling unnecessarily.  Their inquiry resulted in two estimates:  1) publicly owned fleets idle for 1.8% of the hours they are in use, and 2) privately-owned fleets idle 7.5% of the time.  CARB further assumes that 95% of nonroad equipment is privately owned, giving an average idle rate of 7.2%. </w:t>
      </w:r>
    </w:p>
    <w:p w:rsidR="009B2F9B" w:rsidRDefault="009B2F9B" w:rsidP="0081054E">
      <w:pPr>
        <w:pStyle w:val="NoSpacing"/>
        <w:spacing w:after="120"/>
        <w:ind w:left="360"/>
        <w:jc w:val="both"/>
        <w:rPr>
          <w:rFonts w:ascii="Calibri" w:hAnsi="Calibri"/>
        </w:rPr>
      </w:pPr>
      <w:r>
        <w:rPr>
          <w:rFonts w:ascii="Calibri" w:hAnsi="Calibri"/>
        </w:rPr>
        <w:t xml:space="preserve">NESCAUM on behalf of OTC obtained information from John Deere distributors in the Northeast, who collected data from telematic devices installed on 19 construction machines.  These devices allow equipment owners to monitor, in real-time, exactly how the machine is operating, including whether it is idling.  The average idling rate from the John Deere survey is 42%, considerably higher than CARB’s estimate.  </w:t>
      </w:r>
    </w:p>
    <w:p w:rsidR="009B2F9B" w:rsidRDefault="009B2F9B" w:rsidP="0081054E">
      <w:pPr>
        <w:pStyle w:val="NoSpacing"/>
        <w:spacing w:after="120"/>
        <w:ind w:left="360"/>
        <w:jc w:val="both"/>
        <w:rPr>
          <w:rFonts w:ascii="Calibri" w:hAnsi="Calibri"/>
          <w:sz w:val="22"/>
          <w:szCs w:val="22"/>
          <w:vertAlign w:val="superscript"/>
        </w:rPr>
      </w:pPr>
      <w:r>
        <w:rPr>
          <w:rFonts w:ascii="Calibri" w:hAnsi="Calibri"/>
          <w:sz w:val="22"/>
          <w:szCs w:val="22"/>
        </w:rPr>
        <w:t xml:space="preserve">NESCAUM also analyzed idling PM emissions data for 19 engines tested by Southwest Research Institute (SWRI) for EPA </w:t>
      </w:r>
      <w:r>
        <w:rPr>
          <w:rFonts w:ascii="Calibri" w:hAnsi="Calibri"/>
          <w:sz w:val="22"/>
          <w:szCs w:val="22"/>
        </w:rPr>
        <w:fldChar w:fldCharType="begin"/>
      </w:r>
      <w:r>
        <w:rPr>
          <w:rFonts w:ascii="Calibri" w:hAnsi="Calibri"/>
          <w:sz w:val="22"/>
          <w:szCs w:val="22"/>
        </w:rPr>
        <w:instrText xml:space="preserve"> ADDIN ZOTERO_ITEM CSL_CITATION {"citationID":"sugjV0NP","properties":{"formattedCitation":"(Fritz and Starr March 1998)","plainCitation":"(Fritz and Starr March 1998)"},"citationItems":[{"id":470,"uris":["http://zotero.org/groups/493296/items/V5SPMQ8K"],"uri":["http://zotero.org/groups/493296/items/V5SPMQ8K"],"itemData":{"type":"report","title":"Emission Factors for Compression Ignition Nonroad Engines Operated on Number 2 Highway and Nonroad Diesel Fuel","authority":"Southwest Research Institute","URL":"https://nepis.epa.gov/Exe/ZyPURL.cgi?Dockey=9100SELP.txt","number":"EPA contract # 68-C5-0077, SwRI 08-7601-822","author":[{"family":"Fritz","given":"S.G."},{"family":"Starr","given":"M.E."}],"issued":{"raw":"March 1998"}}}],"schema":"https://github.com/citation-style-language/schema/raw/master/csl-citation.json"} </w:instrText>
      </w:r>
      <w:r>
        <w:rPr>
          <w:rFonts w:ascii="Calibri" w:hAnsi="Calibri"/>
          <w:sz w:val="22"/>
          <w:szCs w:val="22"/>
        </w:rPr>
        <w:fldChar w:fldCharType="separate"/>
      </w:r>
      <w:r>
        <w:rPr>
          <w:rFonts w:ascii="Calibri" w:hAnsi="Calibri"/>
          <w:sz w:val="22"/>
        </w:rPr>
        <w:t>(Fritz and Starr March 1998)</w:t>
      </w:r>
      <w:r>
        <w:rPr>
          <w:rFonts w:ascii="Calibri" w:hAnsi="Calibri"/>
          <w:sz w:val="22"/>
          <w:szCs w:val="22"/>
        </w:rPr>
        <w:fldChar w:fldCharType="end"/>
      </w:r>
      <w:r w:rsidR="00BE5463">
        <w:rPr>
          <w:rStyle w:val="FootnoteReference"/>
          <w:rFonts w:ascii="Calibri" w:hAnsi="Calibri"/>
          <w:sz w:val="22"/>
          <w:szCs w:val="22"/>
        </w:rPr>
        <w:footnoteReference w:id="25"/>
      </w:r>
      <w:r>
        <w:rPr>
          <w:rFonts w:ascii="Calibri" w:hAnsi="Calibri"/>
          <w:sz w:val="22"/>
          <w:szCs w:val="22"/>
        </w:rPr>
        <w:t>.</w:t>
      </w:r>
      <w:r>
        <w:rPr>
          <w:rFonts w:ascii="Calibri" w:hAnsi="Calibri"/>
          <w:sz w:val="22"/>
          <w:szCs w:val="22"/>
          <w:vertAlign w:val="superscript"/>
        </w:rPr>
        <w:t xml:space="preserve"> </w:t>
      </w:r>
      <w:r>
        <w:rPr>
          <w:rFonts w:ascii="Calibri" w:hAnsi="Calibri"/>
        </w:rPr>
        <w:t xml:space="preserve"> However, the data collected from EPA correspond to the data obtained from John Deere and because of this, and because the EPA data were only for a very small number of equipment the EPA was not included in further analysis.  </w:t>
      </w:r>
    </w:p>
    <w:p w:rsidR="009B2F9B" w:rsidRDefault="009B2F9B" w:rsidP="0081054E">
      <w:pPr>
        <w:pStyle w:val="NoSpacing"/>
        <w:spacing w:after="200"/>
        <w:ind w:left="360"/>
        <w:jc w:val="both"/>
        <w:rPr>
          <w:rFonts w:ascii="Calibri" w:hAnsi="Calibri"/>
        </w:rPr>
      </w:pPr>
      <w:r>
        <w:rPr>
          <w:rFonts w:ascii="Calibri" w:hAnsi="Calibri"/>
        </w:rPr>
        <w:t xml:space="preserve">In order to estimate idling emissions in the </w:t>
      </w:r>
      <w:smartTag w:uri="urn:schemas-microsoft-com:office:smarttags" w:element="PlaceType">
        <w:r>
          <w:rPr>
            <w:rFonts w:ascii="Calibri" w:hAnsi="Calibri"/>
          </w:rPr>
          <w:t>OTR</w:t>
        </w:r>
      </w:smartTag>
      <w:r>
        <w:rPr>
          <w:rFonts w:ascii="Calibri" w:hAnsi="Calibri"/>
        </w:rPr>
        <w:t xml:space="preserve">, idling emissions rates (emission factors) and activity (hours spent idling) for different types of nonroad construction equipment were determined. Idling emissions data were analyzed for 35 engines tested as part of a study of nonroad emissions conducted by North Carolina State University </w:t>
      </w:r>
      <w:r>
        <w:rPr>
          <w:rFonts w:ascii="Calibri" w:hAnsi="Calibri"/>
        </w:rPr>
        <w:fldChar w:fldCharType="begin"/>
      </w:r>
      <w:r>
        <w:rPr>
          <w:rFonts w:ascii="Calibri" w:hAnsi="Calibri"/>
        </w:rPr>
        <w:instrText xml:space="preserve"> ADDIN ZOTERO_ITEM CSL_CITATION {"citationID":"j4k5EgnY","properties":{"formattedCitation":"(Frey et al. 2008)","plainCitation":"(Frey et al. 2008)"},"citationItems":[{"id":463,"uris":["http://zotero.org/groups/493296/items/9V8EQUAJ"],"uri":["http://zotero.org/groups/493296/items/9V8EQUAJ"],"itemData":{"type":"article-journal","title":"Real-world duty cycles and utilization for construction equipment in North Carolina","container-title":"Dept. of Civil, Construction, and Environmental Engineering, North Carolina State University, Raleigh, NC","source":"Google Scholar","URL":"http://ntl.bts.gov/lib/32000/32300/32323/2006-08FinalReport.pdf","author":[{"family":"Frey","given":"H. Christopher"},{"family":"Rasdorf","given":"William"},{"family":"Kim","given":"Kangwook"},{"family":"Pang","given":"S.-H."},{"family":"Lewis","given":"Phil"},{"family":"Abolhassani","given":"Saeed"}],"issued":{"raw":"2008"},"accessed":{"raw":"2016-08-25T17:30:50Z"}}}],"schema":"https://github.com/citation-style-language/schema/raw/master/csl-citation.json"} </w:instrText>
      </w:r>
      <w:r>
        <w:rPr>
          <w:rFonts w:ascii="Calibri" w:hAnsi="Calibri"/>
        </w:rPr>
        <w:fldChar w:fldCharType="separate"/>
      </w:r>
      <w:r>
        <w:rPr>
          <w:rFonts w:ascii="Calibri" w:hAnsi="Calibri"/>
        </w:rPr>
        <w:t>(Frey et al. 2008)</w:t>
      </w:r>
      <w:r>
        <w:rPr>
          <w:rFonts w:ascii="Calibri" w:hAnsi="Calibri"/>
        </w:rPr>
        <w:fldChar w:fldCharType="end"/>
      </w:r>
      <w:r w:rsidR="0084709A">
        <w:rPr>
          <w:rStyle w:val="FootnoteReference"/>
          <w:rFonts w:ascii="Calibri" w:hAnsi="Calibri"/>
        </w:rPr>
        <w:footnoteReference w:id="26"/>
      </w:r>
      <w:r>
        <w:rPr>
          <w:rFonts w:ascii="Calibri" w:hAnsi="Calibri"/>
        </w:rPr>
        <w:t xml:space="preserve">. Regressions were run based on </w:t>
      </w:r>
      <w:r>
        <w:rPr>
          <w:rFonts w:ascii="Calibri" w:hAnsi="Calibri"/>
        </w:rPr>
        <w:fldChar w:fldCharType="begin"/>
      </w:r>
      <w:r>
        <w:rPr>
          <w:rFonts w:ascii="Calibri" w:hAnsi="Calibri"/>
        </w:rPr>
        <w:instrText xml:space="preserve"> REF _Ref299537485 \h  \* MERGEFORMAT </w:instrText>
      </w:r>
      <w:r>
        <w:rPr>
          <w:rFonts w:ascii="Calibri" w:hAnsi="Calibri"/>
        </w:rPr>
      </w:r>
      <w:r>
        <w:rPr>
          <w:rFonts w:ascii="Calibri" w:hAnsi="Calibri"/>
        </w:rPr>
        <w:fldChar w:fldCharType="separate"/>
      </w:r>
      <w:r>
        <w:rPr>
          <w:rFonts w:ascii="Calibri" w:hAnsi="Calibri"/>
        </w:rPr>
        <w:t xml:space="preserve">Equation </w:t>
      </w:r>
      <w:r>
        <w:rPr>
          <w:rFonts w:ascii="Calibri" w:hAnsi="Calibri"/>
          <w:noProof/>
        </w:rPr>
        <w:t>1</w:t>
      </w:r>
      <w:r>
        <w:rPr>
          <w:rFonts w:ascii="Calibri" w:hAnsi="Calibri"/>
        </w:rPr>
        <w:fldChar w:fldCharType="end"/>
      </w:r>
      <w:r>
        <w:rPr>
          <w:rFonts w:ascii="Calibri" w:hAnsi="Calibri"/>
        </w:rPr>
        <w:t xml:space="preserve"> using as the dependent variable three types of pollutants, Oxides of Nitrogen (NO</w:t>
      </w:r>
      <w:r>
        <w:rPr>
          <w:rFonts w:ascii="Calibri" w:hAnsi="Calibri"/>
          <w:vertAlign w:val="subscript"/>
        </w:rPr>
        <w:t>X</w:t>
      </w:r>
      <w:r>
        <w:rPr>
          <w:rFonts w:ascii="Calibri" w:hAnsi="Calibri"/>
        </w:rPr>
        <w:t>), Particulate Matter (PM), and Total Hydrocarbons (THC), as well as diesel fuel consumption.  Significant relationships were found between rated power and the level of emissions of NO</w:t>
      </w:r>
      <w:r>
        <w:rPr>
          <w:rFonts w:ascii="Calibri" w:hAnsi="Calibri"/>
          <w:vertAlign w:val="subscript"/>
        </w:rPr>
        <w:t>X</w:t>
      </w:r>
      <w:r>
        <w:rPr>
          <w:rFonts w:ascii="Calibri" w:hAnsi="Calibri"/>
        </w:rPr>
        <w:t xml:space="preserve"> that occur during idling, as well as between rated power and fuel consumption.  The equipment’s rated power displayed no effect on the level of PM and THC emissions that result during idling, essentially making it zero.  Additionally, the variables of whether an engine was Tier 1 or was Tier 2 or greater were found to have significant coefficients for all species of emissions.  These results provide high quality </w:t>
      </w:r>
      <w:r w:rsidR="0060782B">
        <w:rPr>
          <w:noProof/>
        </w:rPr>
        <mc:AlternateContent>
          <mc:Choice Requires="wps">
            <w:drawing>
              <wp:anchor distT="0" distB="0" distL="114300" distR="114300" simplePos="0" relativeHeight="251769856" behindDoc="0" locked="1" layoutInCell="1" allowOverlap="0" wp14:anchorId="37F0C09B" wp14:editId="2A19CA42">
                <wp:simplePos x="0" y="0"/>
                <wp:positionH relativeFrom="margin">
                  <wp:posOffset>2724150</wp:posOffset>
                </wp:positionH>
                <wp:positionV relativeFrom="bottomMargin">
                  <wp:posOffset>1337945</wp:posOffset>
                </wp:positionV>
                <wp:extent cx="914400" cy="237490"/>
                <wp:effectExtent l="0" t="0" r="0" b="0"/>
                <wp:wrapNone/>
                <wp:docPr id="22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237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782B" w:rsidRDefault="0060782B" w:rsidP="0060782B">
                            <w:pPr>
                              <w:ind w:right="60"/>
                              <w:rPr>
                                <w:rFonts w:asciiTheme="minorHAnsi" w:hAnsiTheme="minorHAnsi"/>
                                <w:sz w:val="20"/>
                                <w:szCs w:val="20"/>
                              </w:rPr>
                            </w:pPr>
                            <w:hyperlink w:anchor="TOC" w:history="1">
                              <w:r>
                                <w:rPr>
                                  <w:rStyle w:val="Hyperlink"/>
                                  <w:sz w:val="20"/>
                                  <w:szCs w:val="20"/>
                                </w:rPr>
                                <w:t>Back to TOC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0C09B" id="Text Box 222" o:spid="_x0000_s1072" type="#_x0000_t202" style="position:absolute;left:0;text-align:left;margin-left:214.5pt;margin-top:105.35pt;width:1in;height:18.7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KsmQIAAK4FAAAOAAAAZHJzL2Uyb0RvYy54bWysVFFP2zAQfp+0/2D5faQNBUZEiroipkkV&#10;oMHEs+vYrYXj82y3SffrOTtJKYwXpr0kZ993d7677+7isq012QrnFZiSjo9GlAjDoVJmVdJfD9df&#10;vlLiAzMV02BESXfC08vp508XjS1EDmvQlXAEnRhfNLak6xBskWWer0XN/BFYYVApwdUs4NGtssqx&#10;Br3XOstHo9OsAVdZB1x4j7dXnZJOk38pBQ+3UnoRiC4pvi2kr0vfZfxm0wtWrByza8X7Z7B/eEXN&#10;lMGge1dXLDCyceovV7XiDjzIcMShzkBKxUXKAbMZj95kc79mVqRcsDje7svk/59bfrO9c0RVJc3z&#10;nBLDamzSg2gD+QYtiXdYocb6AoH3FqGhRQV2OmXr7QL4k0dIdoDpDDyiY0Va6er4x1wJGmITdvvC&#10;xzgcL8/Hk8kINRxV+fHZ5Dw1Jnsxts6H7wJqEoWSOuxregDbLnyI4VkxQGIsD1pV10rrdIhcEnPt&#10;yJYhC3QYx5zQ4hVKG9KU9PT4ZJQcG4jmHU6b6EYkNvXhYrZdgkkKOy0iRpufQmI1U57vxGacC7OP&#10;n9ARJTHURwx7/MurPmLc5YEWKTKYsDeulQHX9fV1yaqnoWSyw/f99l3esQShXbaJRpPzgTFLqHZI&#10;GAfd0HnLrxV2b8F8uGMOpwwbjpsj3OJHasDqQy9Rsgb35737iEfyo5aSBqe2pP73hjlBif5hcCwS&#10;kXDM02FycpZjDHeoWR5qzKaeA1JijDvK8iRGfNCDKB3Uj7hgZjEqqpjhGLukYRDnodsluKC4mM0S&#10;CAfbsrAw95YPcxK5+dA+Mmd7Agdk/g0M882KNzzusLFBBmabAFIlksdCd1XtG4BLITG5X2Bx6xye&#10;E+plzU6fAQAA//8DAFBLAwQUAAYACAAAACEANvXYvOEAAAALAQAADwAAAGRycy9kb3ducmV2Lnht&#10;bEyPwU7DMBBE70j8g7VIXKrWSSi0hDgVQlRqDz2QcunNjZckIl5HttuGv2c5lePOjmbeFKvR9uKM&#10;PnSOFKSzBARS7UxHjYLP/Xq6BBGiJqN7R6jgBwOsytubQufGXegDz1VsBIdQyLWCNsYhlzLULVod&#10;Zm5A4t+X81ZHPn0jjdcXDre9zJLkSVrdETe0esC3Fuvv6mQV7MJhMzn4zXpSBSO3iLv3bRqVur8b&#10;X19ARBzj1Qx/+IwOJTMd3YlMEL2CefbMW6KCLE0WINjxuHhg5cjKfJmCLAv5f0P5CwAA//8DAFBL&#10;AQItABQABgAIAAAAIQC2gziS/gAAAOEBAAATAAAAAAAAAAAAAAAAAAAAAABbQ29udGVudF9UeXBl&#10;c10ueG1sUEsBAi0AFAAGAAgAAAAhADj9If/WAAAAlAEAAAsAAAAAAAAAAAAAAAAALwEAAF9yZWxz&#10;Ly5yZWxzUEsBAi0AFAAGAAgAAAAhALb6oqyZAgAArgUAAA4AAAAAAAAAAAAAAAAALgIAAGRycy9l&#10;Mm9Eb2MueG1sUEsBAi0AFAAGAAgAAAAhADb12LzhAAAACwEAAA8AAAAAAAAAAAAAAAAA8wQAAGRy&#10;cy9kb3ducmV2LnhtbFBLBQYAAAAABAAEAPMAAAABBgAAAAA=&#10;" o:allowoverlap="f" fillcolor="white [3201]" stroked="f" strokeweight=".5pt">
                <v:path arrowok="t"/>
                <v:textbox>
                  <w:txbxContent>
                    <w:p w:rsidR="0060782B" w:rsidRDefault="0060782B" w:rsidP="0060782B">
                      <w:pPr>
                        <w:ind w:right="60"/>
                        <w:rPr>
                          <w:rFonts w:asciiTheme="minorHAnsi" w:hAnsiTheme="minorHAnsi"/>
                          <w:sz w:val="20"/>
                          <w:szCs w:val="20"/>
                        </w:rPr>
                      </w:pPr>
                      <w:hyperlink w:anchor="TOC" w:history="1">
                        <w:r>
                          <w:rPr>
                            <w:rStyle w:val="Hyperlink"/>
                            <w:sz w:val="20"/>
                            <w:szCs w:val="20"/>
                          </w:rPr>
                          <w:t>Back to TOC</w:t>
                        </w:r>
                      </w:hyperlink>
                    </w:p>
                  </w:txbxContent>
                </v:textbox>
                <w10:wrap anchorx="margin" anchory="margin"/>
                <w10:anchorlock/>
              </v:shape>
            </w:pict>
          </mc:Fallback>
        </mc:AlternateContent>
      </w:r>
      <w:r>
        <w:rPr>
          <w:rFonts w:ascii="Calibri" w:hAnsi="Calibri"/>
        </w:rPr>
        <w:t>equations for estimating emissions from idling from across the sector.</w:t>
      </w:r>
    </w:p>
    <w:p w:rsidR="009B2F9B" w:rsidRDefault="009B2F9B" w:rsidP="0081054E">
      <w:pPr>
        <w:pStyle w:val="Caption"/>
        <w:keepNext/>
      </w:pPr>
      <w:bookmarkStart w:id="381" w:name="_Ref299537485"/>
      <w:bookmarkStart w:id="382" w:name="_Toc461106819"/>
      <w:r>
        <w:t xml:space="preserve">Equation </w:t>
      </w:r>
      <w:r w:rsidR="0009546F">
        <w:fldChar w:fldCharType="begin"/>
      </w:r>
      <w:r w:rsidR="0009546F">
        <w:instrText xml:space="preserve"> SEQ Equation \* ARABIC </w:instrText>
      </w:r>
      <w:r w:rsidR="0009546F">
        <w:fldChar w:fldCharType="separate"/>
      </w:r>
      <w:r>
        <w:rPr>
          <w:noProof/>
        </w:rPr>
        <w:t>1</w:t>
      </w:r>
      <w:r w:rsidR="0009546F">
        <w:rPr>
          <w:noProof/>
        </w:rPr>
        <w:fldChar w:fldCharType="end"/>
      </w:r>
      <w:bookmarkEnd w:id="381"/>
      <w:r>
        <w:t>: Regression Equation for Calculating Emissions</w:t>
      </w:r>
      <w:bookmarkEnd w:id="38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4"/>
      </w:tblGrid>
      <w:tr w:rsidR="009B2F9B" w:rsidTr="00A475FE">
        <w:trPr>
          <w:trHeight w:val="528"/>
          <w:jc w:val="center"/>
        </w:trPr>
        <w:tc>
          <w:tcPr>
            <w:tcW w:w="6724" w:type="dxa"/>
            <w:tcBorders>
              <w:top w:val="nil"/>
              <w:left w:val="nil"/>
              <w:bottom w:val="nil"/>
              <w:right w:val="nil"/>
            </w:tcBorders>
            <w:hideMark/>
          </w:tcPr>
          <w:p w:rsidR="009B2F9B" w:rsidRDefault="009B2F9B" w:rsidP="0081054E">
            <w:pPr>
              <w:pStyle w:val="NoSpacing"/>
              <w:rPr>
                <w:i/>
              </w:rPr>
            </w:pPr>
            <w:r>
              <w:rPr>
                <w:i/>
              </w:rPr>
              <w:t>Idling Emissions = α * RatedPower +β * Tier1 + γ * Tier2Plus + ε</w:t>
            </w:r>
          </w:p>
        </w:tc>
      </w:tr>
    </w:tbl>
    <w:p w:rsidR="009B2F9B" w:rsidRDefault="009B2F9B" w:rsidP="0081054E">
      <w:pPr>
        <w:pStyle w:val="NoSpacing"/>
        <w:spacing w:after="120"/>
        <w:ind w:left="360"/>
        <w:jc w:val="both"/>
        <w:rPr>
          <w:rFonts w:ascii="Calibri" w:hAnsi="Calibri"/>
        </w:rPr>
      </w:pPr>
      <w:r>
        <w:rPr>
          <w:noProof/>
        </w:rPr>
        <w:lastRenderedPageBreak/>
        <mc:AlternateContent>
          <mc:Choice Requires="wps">
            <w:drawing>
              <wp:anchor distT="0" distB="0" distL="114300" distR="114300" simplePos="0" relativeHeight="251660288" behindDoc="0" locked="0" layoutInCell="1" allowOverlap="1" wp14:anchorId="5882286B" wp14:editId="145564F2">
                <wp:simplePos x="0" y="0"/>
                <wp:positionH relativeFrom="column">
                  <wp:posOffset>2771775</wp:posOffset>
                </wp:positionH>
                <wp:positionV relativeFrom="paragraph">
                  <wp:posOffset>1066800</wp:posOffset>
                </wp:positionV>
                <wp:extent cx="3400425" cy="2600325"/>
                <wp:effectExtent l="0" t="0" r="9525" b="9525"/>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2600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546F" w:rsidRPr="00462C12" w:rsidRDefault="0009546F" w:rsidP="00462C12">
                            <w:pPr>
                              <w:pStyle w:val="Caption"/>
                              <w:keepNext/>
                              <w:spacing w:after="120"/>
                              <w:rPr>
                                <w:rFonts w:asciiTheme="minorHAnsi" w:hAnsiTheme="minorHAnsi"/>
                                <w:sz w:val="22"/>
                                <w:szCs w:val="22"/>
                              </w:rPr>
                            </w:pPr>
                            <w:bookmarkStart w:id="383" w:name="_Toc461106820"/>
                            <w:r w:rsidRPr="00462C12">
                              <w:rPr>
                                <w:rFonts w:asciiTheme="minorHAnsi" w:hAnsiTheme="minorHAnsi"/>
                                <w:sz w:val="22"/>
                                <w:szCs w:val="22"/>
                              </w:rPr>
                              <w:t>Table 3-15</w:t>
                            </w:r>
                            <w:r>
                              <w:rPr>
                                <w:rFonts w:asciiTheme="minorHAnsi" w:hAnsiTheme="minorHAnsi"/>
                                <w:sz w:val="22"/>
                                <w:szCs w:val="22"/>
                              </w:rPr>
                              <w:tab/>
                            </w:r>
                            <w:r w:rsidRPr="00462C12">
                              <w:rPr>
                                <w:rFonts w:asciiTheme="minorHAnsi" w:hAnsiTheme="minorHAnsi"/>
                                <w:sz w:val="22"/>
                                <w:szCs w:val="22"/>
                              </w:rPr>
                              <w:t>Emissions from Avoidable Nonroad Idling, OTC States 2009 (tpy)</w:t>
                            </w:r>
                            <w:bookmarkEnd w:id="383"/>
                          </w:p>
                          <w:tbl>
                            <w:tblPr>
                              <w:tblW w:w="4860" w:type="dxa"/>
                              <w:tblInd w:w="-72" w:type="dxa"/>
                              <w:tblLook w:val="04A0" w:firstRow="1" w:lastRow="0" w:firstColumn="1" w:lastColumn="0" w:noHBand="0" w:noVBand="1"/>
                            </w:tblPr>
                            <w:tblGrid>
                              <w:gridCol w:w="1080"/>
                              <w:gridCol w:w="990"/>
                              <w:gridCol w:w="1710"/>
                              <w:gridCol w:w="1080"/>
                            </w:tblGrid>
                            <w:tr w:rsidR="0009546F" w:rsidTr="00A475FE">
                              <w:trPr>
                                <w:trHeight w:val="343"/>
                              </w:trPr>
                              <w:tc>
                                <w:tcPr>
                                  <w:tcW w:w="1080" w:type="dxa"/>
                                  <w:tcBorders>
                                    <w:top w:val="single" w:sz="8" w:space="0" w:color="auto"/>
                                    <w:left w:val="single" w:sz="4" w:space="0" w:color="auto"/>
                                    <w:bottom w:val="single" w:sz="4" w:space="0" w:color="auto"/>
                                    <w:right w:val="single" w:sz="4" w:space="0" w:color="auto"/>
                                  </w:tcBorders>
                                  <w:noWrap/>
                                  <w:vAlign w:val="center"/>
                                </w:tcPr>
                                <w:p w:rsidR="0009546F" w:rsidRDefault="0009546F" w:rsidP="00A475FE">
                                  <w:pPr>
                                    <w:autoSpaceDE w:val="0"/>
                                    <w:autoSpaceDN w:val="0"/>
                                    <w:adjustRightInd w:val="0"/>
                                    <w:rPr>
                                      <w:rFonts w:eastAsia="Batang"/>
                                      <w:b/>
                                      <w:bCs/>
                                      <w:color w:val="000000"/>
                                      <w:lang w:eastAsia="ko-KR"/>
                                    </w:rPr>
                                  </w:pPr>
                                </w:p>
                              </w:tc>
                              <w:tc>
                                <w:tcPr>
                                  <w:tcW w:w="990" w:type="dxa"/>
                                  <w:tcBorders>
                                    <w:top w:val="single" w:sz="8" w:space="0" w:color="auto"/>
                                    <w:left w:val="nil"/>
                                    <w:bottom w:val="single" w:sz="4" w:space="0" w:color="auto"/>
                                    <w:right w:val="single" w:sz="4" w:space="0" w:color="auto"/>
                                  </w:tcBorders>
                                  <w:vAlign w:val="center"/>
                                  <w:hideMark/>
                                </w:tcPr>
                                <w:p w:rsidR="0009546F" w:rsidRDefault="0009546F" w:rsidP="00A475FE">
                                  <w:pPr>
                                    <w:autoSpaceDE w:val="0"/>
                                    <w:autoSpaceDN w:val="0"/>
                                    <w:adjustRightInd w:val="0"/>
                                    <w:rPr>
                                      <w:rFonts w:eastAsia="Batang"/>
                                      <w:b/>
                                      <w:bCs/>
                                      <w:color w:val="000000"/>
                                      <w:lang w:eastAsia="ko-KR"/>
                                    </w:rPr>
                                  </w:pPr>
                                  <w:r>
                                    <w:rPr>
                                      <w:rFonts w:eastAsia="Batang"/>
                                      <w:b/>
                                      <w:bCs/>
                                      <w:color w:val="000000"/>
                                      <w:lang w:eastAsia="ko-KR"/>
                                    </w:rPr>
                                    <w:t>Idling Rate</w:t>
                                  </w:r>
                                </w:p>
                              </w:tc>
                              <w:tc>
                                <w:tcPr>
                                  <w:tcW w:w="1710" w:type="dxa"/>
                                  <w:tcBorders>
                                    <w:top w:val="single" w:sz="8" w:space="0" w:color="auto"/>
                                    <w:left w:val="nil"/>
                                    <w:bottom w:val="single" w:sz="4" w:space="0" w:color="auto"/>
                                    <w:right w:val="single" w:sz="4" w:space="0" w:color="auto"/>
                                  </w:tcBorders>
                                  <w:vAlign w:val="center"/>
                                  <w:hideMark/>
                                </w:tcPr>
                                <w:p w:rsidR="0009546F" w:rsidRDefault="0009546F" w:rsidP="00A475FE">
                                  <w:pPr>
                                    <w:autoSpaceDE w:val="0"/>
                                    <w:autoSpaceDN w:val="0"/>
                                    <w:adjustRightInd w:val="0"/>
                                    <w:rPr>
                                      <w:rFonts w:eastAsia="Calibri"/>
                                      <w:b/>
                                    </w:rPr>
                                  </w:pPr>
                                  <w:r>
                                    <w:rPr>
                                      <w:b/>
                                    </w:rPr>
                                    <w:t>Necessary Idling Per Hour</w:t>
                                  </w:r>
                                </w:p>
                              </w:tc>
                              <w:tc>
                                <w:tcPr>
                                  <w:tcW w:w="1080" w:type="dxa"/>
                                  <w:tcBorders>
                                    <w:top w:val="single" w:sz="8" w:space="0" w:color="auto"/>
                                    <w:left w:val="single" w:sz="4" w:space="0" w:color="auto"/>
                                    <w:bottom w:val="single" w:sz="4" w:space="0" w:color="auto"/>
                                    <w:right w:val="single" w:sz="4" w:space="0" w:color="auto"/>
                                  </w:tcBorders>
                                  <w:noWrap/>
                                  <w:vAlign w:val="center"/>
                                  <w:hideMark/>
                                </w:tcPr>
                                <w:p w:rsidR="0009546F" w:rsidRDefault="0009546F" w:rsidP="00A475FE">
                                  <w:pPr>
                                    <w:autoSpaceDE w:val="0"/>
                                    <w:autoSpaceDN w:val="0"/>
                                    <w:adjustRightInd w:val="0"/>
                                    <w:rPr>
                                      <w:rFonts w:eastAsia="Batang"/>
                                      <w:b/>
                                      <w:bCs/>
                                      <w:color w:val="000000"/>
                                      <w:lang w:eastAsia="ko-KR"/>
                                    </w:rPr>
                                  </w:pPr>
                                  <w:r>
                                    <w:rPr>
                                      <w:b/>
                                    </w:rPr>
                                    <w:t>NO</w:t>
                                  </w:r>
                                  <w:r>
                                    <w:rPr>
                                      <w:b/>
                                      <w:vertAlign w:val="subscript"/>
                                    </w:rPr>
                                    <w:t>X</w:t>
                                  </w:r>
                                </w:p>
                              </w:tc>
                            </w:tr>
                            <w:tr w:rsidR="0009546F" w:rsidTr="00A475FE">
                              <w:trPr>
                                <w:trHeight w:val="255"/>
                              </w:trPr>
                              <w:tc>
                                <w:tcPr>
                                  <w:tcW w:w="1080" w:type="dxa"/>
                                  <w:vMerge w:val="restart"/>
                                  <w:tcBorders>
                                    <w:top w:val="nil"/>
                                    <w:left w:val="single" w:sz="4" w:space="0" w:color="auto"/>
                                    <w:bottom w:val="single" w:sz="4" w:space="0" w:color="auto"/>
                                    <w:right w:val="single" w:sz="4" w:space="0" w:color="auto"/>
                                  </w:tcBorders>
                                  <w:noWrap/>
                                  <w:vAlign w:val="center"/>
                                  <w:hideMark/>
                                </w:tcPr>
                                <w:p w:rsidR="0009546F" w:rsidRDefault="0009546F" w:rsidP="00A475FE">
                                  <w:pPr>
                                    <w:autoSpaceDE w:val="0"/>
                                    <w:autoSpaceDN w:val="0"/>
                                    <w:adjustRightInd w:val="0"/>
                                    <w:rPr>
                                      <w:rFonts w:eastAsia="Batang"/>
                                      <w:color w:val="000000"/>
                                      <w:lang w:eastAsia="ko-KR"/>
                                    </w:rPr>
                                  </w:pPr>
                                  <w:r>
                                    <w:rPr>
                                      <w:rFonts w:eastAsia="Batang"/>
                                      <w:color w:val="000000"/>
                                      <w:lang w:eastAsia="ko-KR"/>
                                    </w:rPr>
                                    <w:t>John Deere</w:t>
                                  </w:r>
                                </w:p>
                              </w:tc>
                              <w:tc>
                                <w:tcPr>
                                  <w:tcW w:w="990" w:type="dxa"/>
                                  <w:vMerge w:val="restart"/>
                                  <w:tcBorders>
                                    <w:top w:val="nil"/>
                                    <w:left w:val="nil"/>
                                    <w:bottom w:val="single" w:sz="4" w:space="0" w:color="auto"/>
                                    <w:right w:val="single" w:sz="4" w:space="0" w:color="auto"/>
                                  </w:tcBorders>
                                  <w:noWrap/>
                                  <w:vAlign w:val="center"/>
                                  <w:hideMark/>
                                </w:tcPr>
                                <w:p w:rsidR="0009546F" w:rsidRDefault="0009546F" w:rsidP="00A475FE">
                                  <w:pPr>
                                    <w:autoSpaceDE w:val="0"/>
                                    <w:autoSpaceDN w:val="0"/>
                                    <w:adjustRightInd w:val="0"/>
                                    <w:rPr>
                                      <w:rFonts w:eastAsia="Batang"/>
                                      <w:color w:val="000000"/>
                                      <w:lang w:eastAsia="ko-KR"/>
                                    </w:rPr>
                                  </w:pPr>
                                  <w:r>
                                    <w:rPr>
                                      <w:rFonts w:eastAsia="Batang"/>
                                      <w:color w:val="000000"/>
                                      <w:lang w:eastAsia="ko-KR"/>
                                    </w:rPr>
                                    <w:t>42%</w:t>
                                  </w:r>
                                </w:p>
                              </w:tc>
                              <w:tc>
                                <w:tcPr>
                                  <w:tcW w:w="1710" w:type="dxa"/>
                                  <w:tcBorders>
                                    <w:top w:val="single" w:sz="4" w:space="0" w:color="auto"/>
                                    <w:left w:val="nil"/>
                                    <w:bottom w:val="single" w:sz="4" w:space="0" w:color="auto"/>
                                    <w:right w:val="single" w:sz="4" w:space="0" w:color="auto"/>
                                  </w:tcBorders>
                                  <w:vAlign w:val="center"/>
                                  <w:hideMark/>
                                </w:tcPr>
                                <w:p w:rsidR="0009546F" w:rsidRDefault="0009546F" w:rsidP="00A475FE">
                                  <w:pPr>
                                    <w:autoSpaceDE w:val="0"/>
                                    <w:autoSpaceDN w:val="0"/>
                                    <w:adjustRightInd w:val="0"/>
                                    <w:rPr>
                                      <w:rFonts w:eastAsia="Batang"/>
                                      <w:color w:val="000000"/>
                                      <w:lang w:eastAsia="ko-KR"/>
                                    </w:rPr>
                                  </w:pPr>
                                  <w:r>
                                    <w:rPr>
                                      <w:rFonts w:eastAsia="Batang"/>
                                      <w:color w:val="000000"/>
                                      <w:lang w:eastAsia="ko-KR"/>
                                    </w:rPr>
                                    <w:t>0 min</w:t>
                                  </w:r>
                                </w:p>
                              </w:tc>
                              <w:tc>
                                <w:tcPr>
                                  <w:tcW w:w="1080" w:type="dxa"/>
                                  <w:tcBorders>
                                    <w:top w:val="nil"/>
                                    <w:left w:val="single" w:sz="4" w:space="0" w:color="auto"/>
                                    <w:bottom w:val="single" w:sz="4" w:space="0" w:color="auto"/>
                                    <w:right w:val="single" w:sz="4" w:space="0" w:color="auto"/>
                                  </w:tcBorders>
                                  <w:noWrap/>
                                  <w:vAlign w:val="center"/>
                                  <w:hideMark/>
                                </w:tcPr>
                                <w:p w:rsidR="0009546F" w:rsidRDefault="0009546F" w:rsidP="00A475FE">
                                  <w:pPr>
                                    <w:autoSpaceDE w:val="0"/>
                                    <w:autoSpaceDN w:val="0"/>
                                    <w:adjustRightInd w:val="0"/>
                                    <w:rPr>
                                      <w:rFonts w:eastAsia="Batang"/>
                                      <w:color w:val="000000"/>
                                      <w:lang w:eastAsia="ko-KR"/>
                                    </w:rPr>
                                  </w:pPr>
                                  <w:r>
                                    <w:rPr>
                                      <w:rFonts w:eastAsia="Batang"/>
                                      <w:color w:val="000000"/>
                                      <w:lang w:eastAsia="ko-KR"/>
                                    </w:rPr>
                                    <w:t>35,146</w:t>
                                  </w:r>
                                </w:p>
                              </w:tc>
                            </w:tr>
                            <w:tr w:rsidR="0009546F" w:rsidTr="00A475FE">
                              <w:trPr>
                                <w:trHeight w:val="255"/>
                              </w:trPr>
                              <w:tc>
                                <w:tcPr>
                                  <w:tcW w:w="0" w:type="auto"/>
                                  <w:vMerge/>
                                  <w:tcBorders>
                                    <w:top w:val="nil"/>
                                    <w:left w:val="single" w:sz="4" w:space="0" w:color="auto"/>
                                    <w:bottom w:val="single" w:sz="4" w:space="0" w:color="auto"/>
                                    <w:right w:val="single" w:sz="4" w:space="0" w:color="auto"/>
                                  </w:tcBorders>
                                  <w:vAlign w:val="center"/>
                                  <w:hideMark/>
                                </w:tcPr>
                                <w:p w:rsidR="0009546F" w:rsidRDefault="0009546F" w:rsidP="00A475FE">
                                  <w:pPr>
                                    <w:rPr>
                                      <w:rFonts w:eastAsia="Batang"/>
                                      <w:color w:val="000000"/>
                                      <w:lang w:eastAsia="ko-KR"/>
                                    </w:rPr>
                                  </w:pPr>
                                </w:p>
                              </w:tc>
                              <w:tc>
                                <w:tcPr>
                                  <w:tcW w:w="0" w:type="auto"/>
                                  <w:vMerge/>
                                  <w:tcBorders>
                                    <w:top w:val="nil"/>
                                    <w:left w:val="nil"/>
                                    <w:bottom w:val="single" w:sz="4" w:space="0" w:color="auto"/>
                                    <w:right w:val="single" w:sz="4" w:space="0" w:color="auto"/>
                                  </w:tcBorders>
                                  <w:vAlign w:val="center"/>
                                  <w:hideMark/>
                                </w:tcPr>
                                <w:p w:rsidR="0009546F" w:rsidRDefault="0009546F" w:rsidP="00A475FE">
                                  <w:pPr>
                                    <w:rPr>
                                      <w:rFonts w:eastAsia="Batang"/>
                                      <w:color w:val="000000"/>
                                      <w:lang w:eastAsia="ko-KR"/>
                                    </w:rPr>
                                  </w:pPr>
                                </w:p>
                              </w:tc>
                              <w:tc>
                                <w:tcPr>
                                  <w:tcW w:w="1710" w:type="dxa"/>
                                  <w:tcBorders>
                                    <w:top w:val="single" w:sz="4" w:space="0" w:color="auto"/>
                                    <w:left w:val="nil"/>
                                    <w:bottom w:val="single" w:sz="4" w:space="0" w:color="auto"/>
                                    <w:right w:val="single" w:sz="4" w:space="0" w:color="auto"/>
                                  </w:tcBorders>
                                  <w:vAlign w:val="center"/>
                                  <w:hideMark/>
                                </w:tcPr>
                                <w:p w:rsidR="0009546F" w:rsidRDefault="0009546F" w:rsidP="00A475FE">
                                  <w:pPr>
                                    <w:autoSpaceDE w:val="0"/>
                                    <w:autoSpaceDN w:val="0"/>
                                    <w:adjustRightInd w:val="0"/>
                                    <w:rPr>
                                      <w:rFonts w:eastAsia="Batang"/>
                                      <w:color w:val="000000"/>
                                      <w:lang w:eastAsia="ko-KR"/>
                                    </w:rPr>
                                  </w:pPr>
                                  <w:r>
                                    <w:rPr>
                                      <w:rFonts w:eastAsia="Batang"/>
                                      <w:color w:val="000000"/>
                                      <w:lang w:eastAsia="ko-KR"/>
                                    </w:rPr>
                                    <w:t>3 min</w:t>
                                  </w:r>
                                </w:p>
                              </w:tc>
                              <w:tc>
                                <w:tcPr>
                                  <w:tcW w:w="1080" w:type="dxa"/>
                                  <w:tcBorders>
                                    <w:top w:val="nil"/>
                                    <w:left w:val="single" w:sz="4" w:space="0" w:color="auto"/>
                                    <w:bottom w:val="single" w:sz="4" w:space="0" w:color="auto"/>
                                    <w:right w:val="single" w:sz="4" w:space="0" w:color="auto"/>
                                  </w:tcBorders>
                                  <w:noWrap/>
                                  <w:vAlign w:val="center"/>
                                  <w:hideMark/>
                                </w:tcPr>
                                <w:p w:rsidR="0009546F" w:rsidRDefault="0009546F" w:rsidP="00A475FE">
                                  <w:pPr>
                                    <w:autoSpaceDE w:val="0"/>
                                    <w:autoSpaceDN w:val="0"/>
                                    <w:adjustRightInd w:val="0"/>
                                    <w:rPr>
                                      <w:rFonts w:eastAsia="Batang"/>
                                      <w:color w:val="000000"/>
                                      <w:lang w:eastAsia="ko-KR"/>
                                    </w:rPr>
                                  </w:pPr>
                                  <w:r>
                                    <w:rPr>
                                      <w:rFonts w:eastAsia="Batang"/>
                                      <w:color w:val="000000"/>
                                      <w:lang w:eastAsia="ko-KR"/>
                                    </w:rPr>
                                    <w:t>30,753</w:t>
                                  </w:r>
                                </w:p>
                              </w:tc>
                            </w:tr>
                            <w:tr w:rsidR="0009546F" w:rsidTr="00A475FE">
                              <w:trPr>
                                <w:trHeight w:val="255"/>
                              </w:trPr>
                              <w:tc>
                                <w:tcPr>
                                  <w:tcW w:w="0" w:type="auto"/>
                                  <w:vMerge/>
                                  <w:tcBorders>
                                    <w:top w:val="nil"/>
                                    <w:left w:val="single" w:sz="4" w:space="0" w:color="auto"/>
                                    <w:bottom w:val="single" w:sz="4" w:space="0" w:color="auto"/>
                                    <w:right w:val="single" w:sz="4" w:space="0" w:color="auto"/>
                                  </w:tcBorders>
                                  <w:vAlign w:val="center"/>
                                  <w:hideMark/>
                                </w:tcPr>
                                <w:p w:rsidR="0009546F" w:rsidRDefault="0009546F" w:rsidP="00A475FE">
                                  <w:pPr>
                                    <w:rPr>
                                      <w:rFonts w:eastAsia="Batang"/>
                                      <w:color w:val="000000"/>
                                      <w:lang w:eastAsia="ko-KR"/>
                                    </w:rPr>
                                  </w:pPr>
                                </w:p>
                              </w:tc>
                              <w:tc>
                                <w:tcPr>
                                  <w:tcW w:w="0" w:type="auto"/>
                                  <w:vMerge/>
                                  <w:tcBorders>
                                    <w:top w:val="nil"/>
                                    <w:left w:val="nil"/>
                                    <w:bottom w:val="single" w:sz="4" w:space="0" w:color="auto"/>
                                    <w:right w:val="single" w:sz="4" w:space="0" w:color="auto"/>
                                  </w:tcBorders>
                                  <w:vAlign w:val="center"/>
                                  <w:hideMark/>
                                </w:tcPr>
                                <w:p w:rsidR="0009546F" w:rsidRDefault="0009546F" w:rsidP="00A475FE">
                                  <w:pPr>
                                    <w:rPr>
                                      <w:rFonts w:eastAsia="Batang"/>
                                      <w:color w:val="000000"/>
                                      <w:lang w:eastAsia="ko-KR"/>
                                    </w:rPr>
                                  </w:pPr>
                                </w:p>
                              </w:tc>
                              <w:tc>
                                <w:tcPr>
                                  <w:tcW w:w="1710" w:type="dxa"/>
                                  <w:tcBorders>
                                    <w:top w:val="single" w:sz="4" w:space="0" w:color="auto"/>
                                    <w:left w:val="nil"/>
                                    <w:bottom w:val="single" w:sz="4" w:space="0" w:color="auto"/>
                                    <w:right w:val="single" w:sz="4" w:space="0" w:color="auto"/>
                                  </w:tcBorders>
                                  <w:vAlign w:val="center"/>
                                  <w:hideMark/>
                                </w:tcPr>
                                <w:p w:rsidR="0009546F" w:rsidRDefault="0009546F" w:rsidP="00A475FE">
                                  <w:pPr>
                                    <w:autoSpaceDE w:val="0"/>
                                    <w:autoSpaceDN w:val="0"/>
                                    <w:adjustRightInd w:val="0"/>
                                    <w:rPr>
                                      <w:rFonts w:eastAsia="Batang"/>
                                      <w:color w:val="000000"/>
                                      <w:lang w:eastAsia="ko-KR"/>
                                    </w:rPr>
                                  </w:pPr>
                                  <w:r>
                                    <w:rPr>
                                      <w:rFonts w:eastAsia="Batang"/>
                                      <w:color w:val="000000"/>
                                      <w:lang w:eastAsia="ko-KR"/>
                                    </w:rPr>
                                    <w:t>5 min</w:t>
                                  </w:r>
                                </w:p>
                              </w:tc>
                              <w:tc>
                                <w:tcPr>
                                  <w:tcW w:w="1080" w:type="dxa"/>
                                  <w:tcBorders>
                                    <w:top w:val="nil"/>
                                    <w:left w:val="single" w:sz="4" w:space="0" w:color="auto"/>
                                    <w:bottom w:val="single" w:sz="4" w:space="0" w:color="auto"/>
                                    <w:right w:val="single" w:sz="4" w:space="0" w:color="auto"/>
                                  </w:tcBorders>
                                  <w:noWrap/>
                                  <w:vAlign w:val="center"/>
                                  <w:hideMark/>
                                </w:tcPr>
                                <w:p w:rsidR="0009546F" w:rsidRDefault="0009546F" w:rsidP="00A475FE">
                                  <w:pPr>
                                    <w:autoSpaceDE w:val="0"/>
                                    <w:autoSpaceDN w:val="0"/>
                                    <w:adjustRightInd w:val="0"/>
                                    <w:rPr>
                                      <w:rFonts w:eastAsia="Batang"/>
                                      <w:color w:val="000000"/>
                                      <w:lang w:eastAsia="ko-KR"/>
                                    </w:rPr>
                                  </w:pPr>
                                  <w:r>
                                    <w:rPr>
                                      <w:rFonts w:eastAsia="Batang"/>
                                      <w:color w:val="000000"/>
                                      <w:lang w:eastAsia="ko-KR"/>
                                    </w:rPr>
                                    <w:t>28,117</w:t>
                                  </w:r>
                                </w:p>
                              </w:tc>
                            </w:tr>
                            <w:tr w:rsidR="0009546F" w:rsidTr="00A475FE">
                              <w:trPr>
                                <w:trHeight w:val="255"/>
                              </w:trPr>
                              <w:tc>
                                <w:tcPr>
                                  <w:tcW w:w="1080" w:type="dxa"/>
                                  <w:tcBorders>
                                    <w:top w:val="nil"/>
                                    <w:left w:val="single" w:sz="4" w:space="0" w:color="auto"/>
                                    <w:bottom w:val="nil"/>
                                    <w:right w:val="single" w:sz="4" w:space="0" w:color="auto"/>
                                  </w:tcBorders>
                                  <w:noWrap/>
                                  <w:vAlign w:val="center"/>
                                  <w:hideMark/>
                                </w:tcPr>
                                <w:p w:rsidR="0009546F" w:rsidRDefault="0009546F" w:rsidP="00A475FE">
                                  <w:pPr>
                                    <w:autoSpaceDE w:val="0"/>
                                    <w:autoSpaceDN w:val="0"/>
                                    <w:adjustRightInd w:val="0"/>
                                    <w:rPr>
                                      <w:rFonts w:eastAsia="Batang"/>
                                      <w:color w:val="000000"/>
                                      <w:lang w:eastAsia="ko-KR"/>
                                    </w:rPr>
                                  </w:pPr>
                                  <w:r>
                                    <w:rPr>
                                      <w:rFonts w:eastAsia="Batang"/>
                                      <w:color w:val="000000"/>
                                      <w:lang w:eastAsia="ko-KR"/>
                                    </w:rPr>
                                    <w:t>CARB</w:t>
                                  </w:r>
                                </w:p>
                              </w:tc>
                              <w:tc>
                                <w:tcPr>
                                  <w:tcW w:w="990" w:type="dxa"/>
                                  <w:tcBorders>
                                    <w:top w:val="nil"/>
                                    <w:left w:val="single" w:sz="4" w:space="0" w:color="auto"/>
                                    <w:bottom w:val="nil"/>
                                    <w:right w:val="single" w:sz="4" w:space="0" w:color="auto"/>
                                  </w:tcBorders>
                                  <w:vAlign w:val="center"/>
                                  <w:hideMark/>
                                </w:tcPr>
                                <w:p w:rsidR="0009546F" w:rsidRDefault="0009546F" w:rsidP="00A475FE">
                                  <w:pPr>
                                    <w:autoSpaceDE w:val="0"/>
                                    <w:autoSpaceDN w:val="0"/>
                                    <w:adjustRightInd w:val="0"/>
                                    <w:rPr>
                                      <w:rFonts w:eastAsia="Batang"/>
                                      <w:color w:val="000000"/>
                                      <w:lang w:eastAsia="ko-KR"/>
                                    </w:rPr>
                                  </w:pPr>
                                  <w:r>
                                    <w:rPr>
                                      <w:rFonts w:eastAsia="Batang"/>
                                      <w:color w:val="000000"/>
                                      <w:lang w:eastAsia="ko-KR"/>
                                    </w:rPr>
                                    <w:t>7.2%</w:t>
                                  </w:r>
                                </w:p>
                              </w:tc>
                              <w:tc>
                                <w:tcPr>
                                  <w:tcW w:w="1710" w:type="dxa"/>
                                  <w:tcBorders>
                                    <w:top w:val="single" w:sz="4" w:space="0" w:color="auto"/>
                                    <w:left w:val="nil"/>
                                    <w:bottom w:val="single" w:sz="4" w:space="0" w:color="auto"/>
                                    <w:right w:val="single" w:sz="4" w:space="0" w:color="auto"/>
                                  </w:tcBorders>
                                  <w:vAlign w:val="center"/>
                                  <w:hideMark/>
                                </w:tcPr>
                                <w:p w:rsidR="0009546F" w:rsidRDefault="0009546F" w:rsidP="00A475FE">
                                  <w:pPr>
                                    <w:autoSpaceDE w:val="0"/>
                                    <w:autoSpaceDN w:val="0"/>
                                    <w:adjustRightInd w:val="0"/>
                                    <w:rPr>
                                      <w:rFonts w:eastAsia="Batang"/>
                                      <w:color w:val="000000"/>
                                      <w:lang w:eastAsia="ko-KR"/>
                                    </w:rPr>
                                  </w:pPr>
                                  <w:r>
                                    <w:rPr>
                                      <w:rFonts w:eastAsia="Batang"/>
                                      <w:color w:val="000000"/>
                                      <w:lang w:eastAsia="ko-KR"/>
                                    </w:rPr>
                                    <w:t>n/a</w:t>
                                  </w:r>
                                </w:p>
                              </w:tc>
                              <w:tc>
                                <w:tcPr>
                                  <w:tcW w:w="1080" w:type="dxa"/>
                                  <w:tcBorders>
                                    <w:top w:val="nil"/>
                                    <w:left w:val="single" w:sz="4" w:space="0" w:color="auto"/>
                                    <w:bottom w:val="single" w:sz="4" w:space="0" w:color="auto"/>
                                    <w:right w:val="single" w:sz="4" w:space="0" w:color="auto"/>
                                  </w:tcBorders>
                                  <w:noWrap/>
                                  <w:vAlign w:val="center"/>
                                  <w:hideMark/>
                                </w:tcPr>
                                <w:p w:rsidR="0009546F" w:rsidRDefault="0009546F" w:rsidP="00A475FE">
                                  <w:pPr>
                                    <w:autoSpaceDE w:val="0"/>
                                    <w:autoSpaceDN w:val="0"/>
                                    <w:adjustRightInd w:val="0"/>
                                    <w:rPr>
                                      <w:rFonts w:eastAsia="Batang"/>
                                      <w:color w:val="000000"/>
                                      <w:lang w:eastAsia="ko-KR"/>
                                    </w:rPr>
                                  </w:pPr>
                                  <w:r>
                                    <w:rPr>
                                      <w:rFonts w:eastAsia="Batang"/>
                                      <w:color w:val="000000"/>
                                      <w:lang w:eastAsia="ko-KR"/>
                                    </w:rPr>
                                    <w:t>6,151</w:t>
                                  </w:r>
                                </w:p>
                              </w:tc>
                            </w:tr>
                            <w:tr w:rsidR="0009546F" w:rsidTr="00A475FE">
                              <w:trPr>
                                <w:trHeight w:val="255"/>
                              </w:trPr>
                              <w:tc>
                                <w:tcPr>
                                  <w:tcW w:w="3780" w:type="dxa"/>
                                  <w:gridSpan w:val="3"/>
                                  <w:tcBorders>
                                    <w:top w:val="single" w:sz="4" w:space="0" w:color="auto"/>
                                    <w:left w:val="single" w:sz="4" w:space="0" w:color="auto"/>
                                    <w:bottom w:val="single" w:sz="4" w:space="0" w:color="auto"/>
                                    <w:right w:val="single" w:sz="4" w:space="0" w:color="auto"/>
                                  </w:tcBorders>
                                  <w:noWrap/>
                                  <w:vAlign w:val="center"/>
                                  <w:hideMark/>
                                </w:tcPr>
                                <w:p w:rsidR="0009546F" w:rsidRDefault="0009546F" w:rsidP="00A475FE">
                                  <w:pPr>
                                    <w:autoSpaceDE w:val="0"/>
                                    <w:autoSpaceDN w:val="0"/>
                                    <w:adjustRightInd w:val="0"/>
                                    <w:rPr>
                                      <w:rFonts w:eastAsia="Batang"/>
                                      <w:color w:val="000000"/>
                                      <w:lang w:eastAsia="ko-KR"/>
                                    </w:rPr>
                                  </w:pPr>
                                  <w:r>
                                    <w:rPr>
                                      <w:rFonts w:eastAsia="Batang"/>
                                      <w:color w:val="000000"/>
                                      <w:lang w:eastAsia="ko-KR"/>
                                    </w:rPr>
                                    <w:t>Total Emissions from Sector</w:t>
                                  </w:r>
                                </w:p>
                              </w:tc>
                              <w:tc>
                                <w:tcPr>
                                  <w:tcW w:w="1080" w:type="dxa"/>
                                  <w:tcBorders>
                                    <w:top w:val="single" w:sz="4" w:space="0" w:color="auto"/>
                                    <w:left w:val="nil"/>
                                    <w:bottom w:val="single" w:sz="4" w:space="0" w:color="auto"/>
                                    <w:right w:val="single" w:sz="4" w:space="0" w:color="auto"/>
                                  </w:tcBorders>
                                  <w:noWrap/>
                                  <w:vAlign w:val="center"/>
                                  <w:hideMark/>
                                </w:tcPr>
                                <w:p w:rsidR="0009546F" w:rsidRDefault="0009546F" w:rsidP="00A475FE">
                                  <w:pPr>
                                    <w:autoSpaceDE w:val="0"/>
                                    <w:autoSpaceDN w:val="0"/>
                                    <w:adjustRightInd w:val="0"/>
                                    <w:rPr>
                                      <w:rFonts w:eastAsia="Batang"/>
                                      <w:color w:val="000000"/>
                                      <w:lang w:eastAsia="ko-KR"/>
                                    </w:rPr>
                                  </w:pPr>
                                  <w:r>
                                    <w:rPr>
                                      <w:rFonts w:eastAsia="Batang"/>
                                      <w:color w:val="000000"/>
                                      <w:lang w:eastAsia="ko-KR"/>
                                    </w:rPr>
                                    <w:t>194,831</w:t>
                                  </w:r>
                                </w:p>
                              </w:tc>
                            </w:tr>
                          </w:tbl>
                          <w:p w:rsidR="0009546F" w:rsidRDefault="0009546F" w:rsidP="009B2F9B">
                            <w:pPr>
                              <w:jc w:val="both"/>
                              <w:rPr>
                                <w:rFonts w:eastAsia="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82286B" id="Text Box 6" o:spid="_x0000_s1073" type="#_x0000_t202" style="position:absolute;left:0;text-align:left;margin-left:218.25pt;margin-top:84pt;width:267.75pt;height:20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mXwhAIAABcFAAAOAAAAZHJzL2Uyb0RvYy54bWysVFtv2yAUfp+0/4B4T41dJ42tOFUvyzSp&#10;u0jtfgABHKPZwIDE7qr99x1wkqa7SNM0P2AO5/Cd23dYXA5di3bCOqlVhdMzgpFQTHOpNhX+/LCa&#10;zDFynipOW61EhR+Fw5fL168WvSlFphvdcmERgChX9qbCjfemTBLHGtFRd6aNUKCste2oB9FuEm5p&#10;D+hdm2SEzJJeW26sZsI5OL0dlXgZ8etaMP+xrp3wqK0wxObjauO6DmuyXNByY6lpJNuHQf8hio5K&#10;BU6PULfUU7S18heoTjKrna79GdNdoutaMhFzgGxS8lM29w01IuYCxXHmWCb3/2DZh90niySv8Awj&#10;RTto0YMYPLrWA5qF6vTGlWB0b8DMD3AMXY6ZOnOn2ReHlL5pqNqIK2t13wjKIbo03ExOro44LoCs&#10;+/eagxu69ToCDbXtQumgGAjQoUuPx86EUBgcnueE5NkUIwa6bEbIOQjBBy0P1411/q3QHQqbClto&#10;fYSnuzvnR9ODSfDmdCv5SrZtFOxmfdNatKNAk1X89ugvzFoVjJUO10bE8QSiBB9BF+KNbX8q0iwn&#10;11kxWc3mF5N8lU8nxQWZT0haXBczkhf57ep7CDDNy0ZyLtSdVOJAwTT/uxbvh2EkTyQh6itcTKE6&#10;Ma8/Jkni97skO+lhIlvZVXh+NKJl6OwbxSFtWnoq23GfvAw/NgRqcPjHqkQehNaPJPDDeoiEiyQJ&#10;HFlr/gjEsBraBt2H1wQ2jbbfMOphMivsvm6pFRi17xSQq0jzPIxyFPLpRQaCPdWsTzVUMYCqsMdo&#10;3N74cfy3xspNA55GOit9BYSsZaTKc1R7GsP0xZz2L0UY71M5Wj2/Z8sfAAAA//8DAFBLAwQUAAYA&#10;CAAAACEAuw/yi98AAAALAQAADwAAAGRycy9kb3ducmV2LnhtbEyPwU7DMBBE70j8g7VIXBB1KE3c&#10;hjgVIIG4tvQDnHibRMTrKHab9O9ZTvS2o3manSm2s+vFGcfQedLwtEhAINXedtRoOHx/PK5BhGjI&#10;mt4TarhggG15e1OY3PqJdnjex0ZwCIXcaGhjHHIpQ92iM2HhByT2jn50JrIcG2lHM3G46+UySTLp&#10;TEf8oTUDvrdY/+xPTsPxa3pIN1P1GQ9qt8reTKcqf9H6/m5+fQERcY7/MPzV5+pQcqfKn8gG0WtY&#10;PWcpo2xkax7FxEYt+ag0pEqlIMtCXm8ofwEAAP//AwBQSwECLQAUAAYACAAAACEAtoM4kv4AAADh&#10;AQAAEwAAAAAAAAAAAAAAAAAAAAAAW0NvbnRlbnRfVHlwZXNdLnhtbFBLAQItABQABgAIAAAAIQA4&#10;/SH/1gAAAJQBAAALAAAAAAAAAAAAAAAAAC8BAABfcmVscy8ucmVsc1BLAQItABQABgAIAAAAIQDU&#10;smXwhAIAABcFAAAOAAAAAAAAAAAAAAAAAC4CAABkcnMvZTJvRG9jLnhtbFBLAQItABQABgAIAAAA&#10;IQC7D/KL3wAAAAsBAAAPAAAAAAAAAAAAAAAAAN4EAABkcnMvZG93bnJldi54bWxQSwUGAAAAAAQA&#10;BADzAAAA6gUAAAAA&#10;" stroked="f">
                <v:textbox>
                  <w:txbxContent>
                    <w:p w:rsidR="0009546F" w:rsidRPr="00462C12" w:rsidRDefault="0009546F" w:rsidP="00462C12">
                      <w:pPr>
                        <w:pStyle w:val="Caption"/>
                        <w:keepNext/>
                        <w:spacing w:after="120"/>
                        <w:rPr>
                          <w:rFonts w:asciiTheme="minorHAnsi" w:hAnsiTheme="minorHAnsi"/>
                          <w:sz w:val="22"/>
                          <w:szCs w:val="22"/>
                        </w:rPr>
                      </w:pPr>
                      <w:bookmarkStart w:id="384" w:name="_Toc461106820"/>
                      <w:r w:rsidRPr="00462C12">
                        <w:rPr>
                          <w:rFonts w:asciiTheme="minorHAnsi" w:hAnsiTheme="minorHAnsi"/>
                          <w:sz w:val="22"/>
                          <w:szCs w:val="22"/>
                        </w:rPr>
                        <w:t>Table 3-15</w:t>
                      </w:r>
                      <w:r>
                        <w:rPr>
                          <w:rFonts w:asciiTheme="minorHAnsi" w:hAnsiTheme="minorHAnsi"/>
                          <w:sz w:val="22"/>
                          <w:szCs w:val="22"/>
                        </w:rPr>
                        <w:tab/>
                      </w:r>
                      <w:r w:rsidRPr="00462C12">
                        <w:rPr>
                          <w:rFonts w:asciiTheme="minorHAnsi" w:hAnsiTheme="minorHAnsi"/>
                          <w:sz w:val="22"/>
                          <w:szCs w:val="22"/>
                        </w:rPr>
                        <w:t>Emissions from Avoidable Nonroad Idling, OTC States 2009 (tpy)</w:t>
                      </w:r>
                      <w:bookmarkEnd w:id="384"/>
                    </w:p>
                    <w:tbl>
                      <w:tblPr>
                        <w:tblW w:w="4860" w:type="dxa"/>
                        <w:tblInd w:w="-72" w:type="dxa"/>
                        <w:tblLook w:val="04A0" w:firstRow="1" w:lastRow="0" w:firstColumn="1" w:lastColumn="0" w:noHBand="0" w:noVBand="1"/>
                      </w:tblPr>
                      <w:tblGrid>
                        <w:gridCol w:w="1080"/>
                        <w:gridCol w:w="990"/>
                        <w:gridCol w:w="1710"/>
                        <w:gridCol w:w="1080"/>
                      </w:tblGrid>
                      <w:tr w:rsidR="0009546F" w:rsidTr="00A475FE">
                        <w:trPr>
                          <w:trHeight w:val="343"/>
                        </w:trPr>
                        <w:tc>
                          <w:tcPr>
                            <w:tcW w:w="1080" w:type="dxa"/>
                            <w:tcBorders>
                              <w:top w:val="single" w:sz="8" w:space="0" w:color="auto"/>
                              <w:left w:val="single" w:sz="4" w:space="0" w:color="auto"/>
                              <w:bottom w:val="single" w:sz="4" w:space="0" w:color="auto"/>
                              <w:right w:val="single" w:sz="4" w:space="0" w:color="auto"/>
                            </w:tcBorders>
                            <w:noWrap/>
                            <w:vAlign w:val="center"/>
                          </w:tcPr>
                          <w:p w:rsidR="0009546F" w:rsidRDefault="0009546F" w:rsidP="00A475FE">
                            <w:pPr>
                              <w:autoSpaceDE w:val="0"/>
                              <w:autoSpaceDN w:val="0"/>
                              <w:adjustRightInd w:val="0"/>
                              <w:rPr>
                                <w:rFonts w:eastAsia="Batang"/>
                                <w:b/>
                                <w:bCs/>
                                <w:color w:val="000000"/>
                                <w:lang w:eastAsia="ko-KR"/>
                              </w:rPr>
                            </w:pPr>
                          </w:p>
                        </w:tc>
                        <w:tc>
                          <w:tcPr>
                            <w:tcW w:w="990" w:type="dxa"/>
                            <w:tcBorders>
                              <w:top w:val="single" w:sz="8" w:space="0" w:color="auto"/>
                              <w:left w:val="nil"/>
                              <w:bottom w:val="single" w:sz="4" w:space="0" w:color="auto"/>
                              <w:right w:val="single" w:sz="4" w:space="0" w:color="auto"/>
                            </w:tcBorders>
                            <w:vAlign w:val="center"/>
                            <w:hideMark/>
                          </w:tcPr>
                          <w:p w:rsidR="0009546F" w:rsidRDefault="0009546F" w:rsidP="00A475FE">
                            <w:pPr>
                              <w:autoSpaceDE w:val="0"/>
                              <w:autoSpaceDN w:val="0"/>
                              <w:adjustRightInd w:val="0"/>
                              <w:rPr>
                                <w:rFonts w:eastAsia="Batang"/>
                                <w:b/>
                                <w:bCs/>
                                <w:color w:val="000000"/>
                                <w:lang w:eastAsia="ko-KR"/>
                              </w:rPr>
                            </w:pPr>
                            <w:r>
                              <w:rPr>
                                <w:rFonts w:eastAsia="Batang"/>
                                <w:b/>
                                <w:bCs/>
                                <w:color w:val="000000"/>
                                <w:lang w:eastAsia="ko-KR"/>
                              </w:rPr>
                              <w:t>Idling Rate</w:t>
                            </w:r>
                          </w:p>
                        </w:tc>
                        <w:tc>
                          <w:tcPr>
                            <w:tcW w:w="1710" w:type="dxa"/>
                            <w:tcBorders>
                              <w:top w:val="single" w:sz="8" w:space="0" w:color="auto"/>
                              <w:left w:val="nil"/>
                              <w:bottom w:val="single" w:sz="4" w:space="0" w:color="auto"/>
                              <w:right w:val="single" w:sz="4" w:space="0" w:color="auto"/>
                            </w:tcBorders>
                            <w:vAlign w:val="center"/>
                            <w:hideMark/>
                          </w:tcPr>
                          <w:p w:rsidR="0009546F" w:rsidRDefault="0009546F" w:rsidP="00A475FE">
                            <w:pPr>
                              <w:autoSpaceDE w:val="0"/>
                              <w:autoSpaceDN w:val="0"/>
                              <w:adjustRightInd w:val="0"/>
                              <w:rPr>
                                <w:rFonts w:eastAsia="Calibri"/>
                                <w:b/>
                              </w:rPr>
                            </w:pPr>
                            <w:r>
                              <w:rPr>
                                <w:b/>
                              </w:rPr>
                              <w:t>Necessary Idling Per Hour</w:t>
                            </w:r>
                          </w:p>
                        </w:tc>
                        <w:tc>
                          <w:tcPr>
                            <w:tcW w:w="1080" w:type="dxa"/>
                            <w:tcBorders>
                              <w:top w:val="single" w:sz="8" w:space="0" w:color="auto"/>
                              <w:left w:val="single" w:sz="4" w:space="0" w:color="auto"/>
                              <w:bottom w:val="single" w:sz="4" w:space="0" w:color="auto"/>
                              <w:right w:val="single" w:sz="4" w:space="0" w:color="auto"/>
                            </w:tcBorders>
                            <w:noWrap/>
                            <w:vAlign w:val="center"/>
                            <w:hideMark/>
                          </w:tcPr>
                          <w:p w:rsidR="0009546F" w:rsidRDefault="0009546F" w:rsidP="00A475FE">
                            <w:pPr>
                              <w:autoSpaceDE w:val="0"/>
                              <w:autoSpaceDN w:val="0"/>
                              <w:adjustRightInd w:val="0"/>
                              <w:rPr>
                                <w:rFonts w:eastAsia="Batang"/>
                                <w:b/>
                                <w:bCs/>
                                <w:color w:val="000000"/>
                                <w:lang w:eastAsia="ko-KR"/>
                              </w:rPr>
                            </w:pPr>
                            <w:r>
                              <w:rPr>
                                <w:b/>
                              </w:rPr>
                              <w:t>NO</w:t>
                            </w:r>
                            <w:r>
                              <w:rPr>
                                <w:b/>
                                <w:vertAlign w:val="subscript"/>
                              </w:rPr>
                              <w:t>X</w:t>
                            </w:r>
                          </w:p>
                        </w:tc>
                      </w:tr>
                      <w:tr w:rsidR="0009546F" w:rsidTr="00A475FE">
                        <w:trPr>
                          <w:trHeight w:val="255"/>
                        </w:trPr>
                        <w:tc>
                          <w:tcPr>
                            <w:tcW w:w="1080" w:type="dxa"/>
                            <w:vMerge w:val="restart"/>
                            <w:tcBorders>
                              <w:top w:val="nil"/>
                              <w:left w:val="single" w:sz="4" w:space="0" w:color="auto"/>
                              <w:bottom w:val="single" w:sz="4" w:space="0" w:color="auto"/>
                              <w:right w:val="single" w:sz="4" w:space="0" w:color="auto"/>
                            </w:tcBorders>
                            <w:noWrap/>
                            <w:vAlign w:val="center"/>
                            <w:hideMark/>
                          </w:tcPr>
                          <w:p w:rsidR="0009546F" w:rsidRDefault="0009546F" w:rsidP="00A475FE">
                            <w:pPr>
                              <w:autoSpaceDE w:val="0"/>
                              <w:autoSpaceDN w:val="0"/>
                              <w:adjustRightInd w:val="0"/>
                              <w:rPr>
                                <w:rFonts w:eastAsia="Batang"/>
                                <w:color w:val="000000"/>
                                <w:lang w:eastAsia="ko-KR"/>
                              </w:rPr>
                            </w:pPr>
                            <w:r>
                              <w:rPr>
                                <w:rFonts w:eastAsia="Batang"/>
                                <w:color w:val="000000"/>
                                <w:lang w:eastAsia="ko-KR"/>
                              </w:rPr>
                              <w:t>John Deere</w:t>
                            </w:r>
                          </w:p>
                        </w:tc>
                        <w:tc>
                          <w:tcPr>
                            <w:tcW w:w="990" w:type="dxa"/>
                            <w:vMerge w:val="restart"/>
                            <w:tcBorders>
                              <w:top w:val="nil"/>
                              <w:left w:val="nil"/>
                              <w:bottom w:val="single" w:sz="4" w:space="0" w:color="auto"/>
                              <w:right w:val="single" w:sz="4" w:space="0" w:color="auto"/>
                            </w:tcBorders>
                            <w:noWrap/>
                            <w:vAlign w:val="center"/>
                            <w:hideMark/>
                          </w:tcPr>
                          <w:p w:rsidR="0009546F" w:rsidRDefault="0009546F" w:rsidP="00A475FE">
                            <w:pPr>
                              <w:autoSpaceDE w:val="0"/>
                              <w:autoSpaceDN w:val="0"/>
                              <w:adjustRightInd w:val="0"/>
                              <w:rPr>
                                <w:rFonts w:eastAsia="Batang"/>
                                <w:color w:val="000000"/>
                                <w:lang w:eastAsia="ko-KR"/>
                              </w:rPr>
                            </w:pPr>
                            <w:r>
                              <w:rPr>
                                <w:rFonts w:eastAsia="Batang"/>
                                <w:color w:val="000000"/>
                                <w:lang w:eastAsia="ko-KR"/>
                              </w:rPr>
                              <w:t>42%</w:t>
                            </w:r>
                          </w:p>
                        </w:tc>
                        <w:tc>
                          <w:tcPr>
                            <w:tcW w:w="1710" w:type="dxa"/>
                            <w:tcBorders>
                              <w:top w:val="single" w:sz="4" w:space="0" w:color="auto"/>
                              <w:left w:val="nil"/>
                              <w:bottom w:val="single" w:sz="4" w:space="0" w:color="auto"/>
                              <w:right w:val="single" w:sz="4" w:space="0" w:color="auto"/>
                            </w:tcBorders>
                            <w:vAlign w:val="center"/>
                            <w:hideMark/>
                          </w:tcPr>
                          <w:p w:rsidR="0009546F" w:rsidRDefault="0009546F" w:rsidP="00A475FE">
                            <w:pPr>
                              <w:autoSpaceDE w:val="0"/>
                              <w:autoSpaceDN w:val="0"/>
                              <w:adjustRightInd w:val="0"/>
                              <w:rPr>
                                <w:rFonts w:eastAsia="Batang"/>
                                <w:color w:val="000000"/>
                                <w:lang w:eastAsia="ko-KR"/>
                              </w:rPr>
                            </w:pPr>
                            <w:r>
                              <w:rPr>
                                <w:rFonts w:eastAsia="Batang"/>
                                <w:color w:val="000000"/>
                                <w:lang w:eastAsia="ko-KR"/>
                              </w:rPr>
                              <w:t>0 min</w:t>
                            </w:r>
                          </w:p>
                        </w:tc>
                        <w:tc>
                          <w:tcPr>
                            <w:tcW w:w="1080" w:type="dxa"/>
                            <w:tcBorders>
                              <w:top w:val="nil"/>
                              <w:left w:val="single" w:sz="4" w:space="0" w:color="auto"/>
                              <w:bottom w:val="single" w:sz="4" w:space="0" w:color="auto"/>
                              <w:right w:val="single" w:sz="4" w:space="0" w:color="auto"/>
                            </w:tcBorders>
                            <w:noWrap/>
                            <w:vAlign w:val="center"/>
                            <w:hideMark/>
                          </w:tcPr>
                          <w:p w:rsidR="0009546F" w:rsidRDefault="0009546F" w:rsidP="00A475FE">
                            <w:pPr>
                              <w:autoSpaceDE w:val="0"/>
                              <w:autoSpaceDN w:val="0"/>
                              <w:adjustRightInd w:val="0"/>
                              <w:rPr>
                                <w:rFonts w:eastAsia="Batang"/>
                                <w:color w:val="000000"/>
                                <w:lang w:eastAsia="ko-KR"/>
                              </w:rPr>
                            </w:pPr>
                            <w:r>
                              <w:rPr>
                                <w:rFonts w:eastAsia="Batang"/>
                                <w:color w:val="000000"/>
                                <w:lang w:eastAsia="ko-KR"/>
                              </w:rPr>
                              <w:t>35,146</w:t>
                            </w:r>
                          </w:p>
                        </w:tc>
                      </w:tr>
                      <w:tr w:rsidR="0009546F" w:rsidTr="00A475FE">
                        <w:trPr>
                          <w:trHeight w:val="255"/>
                        </w:trPr>
                        <w:tc>
                          <w:tcPr>
                            <w:tcW w:w="0" w:type="auto"/>
                            <w:vMerge/>
                            <w:tcBorders>
                              <w:top w:val="nil"/>
                              <w:left w:val="single" w:sz="4" w:space="0" w:color="auto"/>
                              <w:bottom w:val="single" w:sz="4" w:space="0" w:color="auto"/>
                              <w:right w:val="single" w:sz="4" w:space="0" w:color="auto"/>
                            </w:tcBorders>
                            <w:vAlign w:val="center"/>
                            <w:hideMark/>
                          </w:tcPr>
                          <w:p w:rsidR="0009546F" w:rsidRDefault="0009546F" w:rsidP="00A475FE">
                            <w:pPr>
                              <w:rPr>
                                <w:rFonts w:eastAsia="Batang"/>
                                <w:color w:val="000000"/>
                                <w:lang w:eastAsia="ko-KR"/>
                              </w:rPr>
                            </w:pPr>
                          </w:p>
                        </w:tc>
                        <w:tc>
                          <w:tcPr>
                            <w:tcW w:w="0" w:type="auto"/>
                            <w:vMerge/>
                            <w:tcBorders>
                              <w:top w:val="nil"/>
                              <w:left w:val="nil"/>
                              <w:bottom w:val="single" w:sz="4" w:space="0" w:color="auto"/>
                              <w:right w:val="single" w:sz="4" w:space="0" w:color="auto"/>
                            </w:tcBorders>
                            <w:vAlign w:val="center"/>
                            <w:hideMark/>
                          </w:tcPr>
                          <w:p w:rsidR="0009546F" w:rsidRDefault="0009546F" w:rsidP="00A475FE">
                            <w:pPr>
                              <w:rPr>
                                <w:rFonts w:eastAsia="Batang"/>
                                <w:color w:val="000000"/>
                                <w:lang w:eastAsia="ko-KR"/>
                              </w:rPr>
                            </w:pPr>
                          </w:p>
                        </w:tc>
                        <w:tc>
                          <w:tcPr>
                            <w:tcW w:w="1710" w:type="dxa"/>
                            <w:tcBorders>
                              <w:top w:val="single" w:sz="4" w:space="0" w:color="auto"/>
                              <w:left w:val="nil"/>
                              <w:bottom w:val="single" w:sz="4" w:space="0" w:color="auto"/>
                              <w:right w:val="single" w:sz="4" w:space="0" w:color="auto"/>
                            </w:tcBorders>
                            <w:vAlign w:val="center"/>
                            <w:hideMark/>
                          </w:tcPr>
                          <w:p w:rsidR="0009546F" w:rsidRDefault="0009546F" w:rsidP="00A475FE">
                            <w:pPr>
                              <w:autoSpaceDE w:val="0"/>
                              <w:autoSpaceDN w:val="0"/>
                              <w:adjustRightInd w:val="0"/>
                              <w:rPr>
                                <w:rFonts w:eastAsia="Batang"/>
                                <w:color w:val="000000"/>
                                <w:lang w:eastAsia="ko-KR"/>
                              </w:rPr>
                            </w:pPr>
                            <w:r>
                              <w:rPr>
                                <w:rFonts w:eastAsia="Batang"/>
                                <w:color w:val="000000"/>
                                <w:lang w:eastAsia="ko-KR"/>
                              </w:rPr>
                              <w:t>3 min</w:t>
                            </w:r>
                          </w:p>
                        </w:tc>
                        <w:tc>
                          <w:tcPr>
                            <w:tcW w:w="1080" w:type="dxa"/>
                            <w:tcBorders>
                              <w:top w:val="nil"/>
                              <w:left w:val="single" w:sz="4" w:space="0" w:color="auto"/>
                              <w:bottom w:val="single" w:sz="4" w:space="0" w:color="auto"/>
                              <w:right w:val="single" w:sz="4" w:space="0" w:color="auto"/>
                            </w:tcBorders>
                            <w:noWrap/>
                            <w:vAlign w:val="center"/>
                            <w:hideMark/>
                          </w:tcPr>
                          <w:p w:rsidR="0009546F" w:rsidRDefault="0009546F" w:rsidP="00A475FE">
                            <w:pPr>
                              <w:autoSpaceDE w:val="0"/>
                              <w:autoSpaceDN w:val="0"/>
                              <w:adjustRightInd w:val="0"/>
                              <w:rPr>
                                <w:rFonts w:eastAsia="Batang"/>
                                <w:color w:val="000000"/>
                                <w:lang w:eastAsia="ko-KR"/>
                              </w:rPr>
                            </w:pPr>
                            <w:r>
                              <w:rPr>
                                <w:rFonts w:eastAsia="Batang"/>
                                <w:color w:val="000000"/>
                                <w:lang w:eastAsia="ko-KR"/>
                              </w:rPr>
                              <w:t>30,753</w:t>
                            </w:r>
                          </w:p>
                        </w:tc>
                      </w:tr>
                      <w:tr w:rsidR="0009546F" w:rsidTr="00A475FE">
                        <w:trPr>
                          <w:trHeight w:val="255"/>
                        </w:trPr>
                        <w:tc>
                          <w:tcPr>
                            <w:tcW w:w="0" w:type="auto"/>
                            <w:vMerge/>
                            <w:tcBorders>
                              <w:top w:val="nil"/>
                              <w:left w:val="single" w:sz="4" w:space="0" w:color="auto"/>
                              <w:bottom w:val="single" w:sz="4" w:space="0" w:color="auto"/>
                              <w:right w:val="single" w:sz="4" w:space="0" w:color="auto"/>
                            </w:tcBorders>
                            <w:vAlign w:val="center"/>
                            <w:hideMark/>
                          </w:tcPr>
                          <w:p w:rsidR="0009546F" w:rsidRDefault="0009546F" w:rsidP="00A475FE">
                            <w:pPr>
                              <w:rPr>
                                <w:rFonts w:eastAsia="Batang"/>
                                <w:color w:val="000000"/>
                                <w:lang w:eastAsia="ko-KR"/>
                              </w:rPr>
                            </w:pPr>
                          </w:p>
                        </w:tc>
                        <w:tc>
                          <w:tcPr>
                            <w:tcW w:w="0" w:type="auto"/>
                            <w:vMerge/>
                            <w:tcBorders>
                              <w:top w:val="nil"/>
                              <w:left w:val="nil"/>
                              <w:bottom w:val="single" w:sz="4" w:space="0" w:color="auto"/>
                              <w:right w:val="single" w:sz="4" w:space="0" w:color="auto"/>
                            </w:tcBorders>
                            <w:vAlign w:val="center"/>
                            <w:hideMark/>
                          </w:tcPr>
                          <w:p w:rsidR="0009546F" w:rsidRDefault="0009546F" w:rsidP="00A475FE">
                            <w:pPr>
                              <w:rPr>
                                <w:rFonts w:eastAsia="Batang"/>
                                <w:color w:val="000000"/>
                                <w:lang w:eastAsia="ko-KR"/>
                              </w:rPr>
                            </w:pPr>
                          </w:p>
                        </w:tc>
                        <w:tc>
                          <w:tcPr>
                            <w:tcW w:w="1710" w:type="dxa"/>
                            <w:tcBorders>
                              <w:top w:val="single" w:sz="4" w:space="0" w:color="auto"/>
                              <w:left w:val="nil"/>
                              <w:bottom w:val="single" w:sz="4" w:space="0" w:color="auto"/>
                              <w:right w:val="single" w:sz="4" w:space="0" w:color="auto"/>
                            </w:tcBorders>
                            <w:vAlign w:val="center"/>
                            <w:hideMark/>
                          </w:tcPr>
                          <w:p w:rsidR="0009546F" w:rsidRDefault="0009546F" w:rsidP="00A475FE">
                            <w:pPr>
                              <w:autoSpaceDE w:val="0"/>
                              <w:autoSpaceDN w:val="0"/>
                              <w:adjustRightInd w:val="0"/>
                              <w:rPr>
                                <w:rFonts w:eastAsia="Batang"/>
                                <w:color w:val="000000"/>
                                <w:lang w:eastAsia="ko-KR"/>
                              </w:rPr>
                            </w:pPr>
                            <w:r>
                              <w:rPr>
                                <w:rFonts w:eastAsia="Batang"/>
                                <w:color w:val="000000"/>
                                <w:lang w:eastAsia="ko-KR"/>
                              </w:rPr>
                              <w:t>5 min</w:t>
                            </w:r>
                          </w:p>
                        </w:tc>
                        <w:tc>
                          <w:tcPr>
                            <w:tcW w:w="1080" w:type="dxa"/>
                            <w:tcBorders>
                              <w:top w:val="nil"/>
                              <w:left w:val="single" w:sz="4" w:space="0" w:color="auto"/>
                              <w:bottom w:val="single" w:sz="4" w:space="0" w:color="auto"/>
                              <w:right w:val="single" w:sz="4" w:space="0" w:color="auto"/>
                            </w:tcBorders>
                            <w:noWrap/>
                            <w:vAlign w:val="center"/>
                            <w:hideMark/>
                          </w:tcPr>
                          <w:p w:rsidR="0009546F" w:rsidRDefault="0009546F" w:rsidP="00A475FE">
                            <w:pPr>
                              <w:autoSpaceDE w:val="0"/>
                              <w:autoSpaceDN w:val="0"/>
                              <w:adjustRightInd w:val="0"/>
                              <w:rPr>
                                <w:rFonts w:eastAsia="Batang"/>
                                <w:color w:val="000000"/>
                                <w:lang w:eastAsia="ko-KR"/>
                              </w:rPr>
                            </w:pPr>
                            <w:r>
                              <w:rPr>
                                <w:rFonts w:eastAsia="Batang"/>
                                <w:color w:val="000000"/>
                                <w:lang w:eastAsia="ko-KR"/>
                              </w:rPr>
                              <w:t>28,117</w:t>
                            </w:r>
                          </w:p>
                        </w:tc>
                      </w:tr>
                      <w:tr w:rsidR="0009546F" w:rsidTr="00A475FE">
                        <w:trPr>
                          <w:trHeight w:val="255"/>
                        </w:trPr>
                        <w:tc>
                          <w:tcPr>
                            <w:tcW w:w="1080" w:type="dxa"/>
                            <w:tcBorders>
                              <w:top w:val="nil"/>
                              <w:left w:val="single" w:sz="4" w:space="0" w:color="auto"/>
                              <w:bottom w:val="nil"/>
                              <w:right w:val="single" w:sz="4" w:space="0" w:color="auto"/>
                            </w:tcBorders>
                            <w:noWrap/>
                            <w:vAlign w:val="center"/>
                            <w:hideMark/>
                          </w:tcPr>
                          <w:p w:rsidR="0009546F" w:rsidRDefault="0009546F" w:rsidP="00A475FE">
                            <w:pPr>
                              <w:autoSpaceDE w:val="0"/>
                              <w:autoSpaceDN w:val="0"/>
                              <w:adjustRightInd w:val="0"/>
                              <w:rPr>
                                <w:rFonts w:eastAsia="Batang"/>
                                <w:color w:val="000000"/>
                                <w:lang w:eastAsia="ko-KR"/>
                              </w:rPr>
                            </w:pPr>
                            <w:r>
                              <w:rPr>
                                <w:rFonts w:eastAsia="Batang"/>
                                <w:color w:val="000000"/>
                                <w:lang w:eastAsia="ko-KR"/>
                              </w:rPr>
                              <w:t>CARB</w:t>
                            </w:r>
                          </w:p>
                        </w:tc>
                        <w:tc>
                          <w:tcPr>
                            <w:tcW w:w="990" w:type="dxa"/>
                            <w:tcBorders>
                              <w:top w:val="nil"/>
                              <w:left w:val="single" w:sz="4" w:space="0" w:color="auto"/>
                              <w:bottom w:val="nil"/>
                              <w:right w:val="single" w:sz="4" w:space="0" w:color="auto"/>
                            </w:tcBorders>
                            <w:vAlign w:val="center"/>
                            <w:hideMark/>
                          </w:tcPr>
                          <w:p w:rsidR="0009546F" w:rsidRDefault="0009546F" w:rsidP="00A475FE">
                            <w:pPr>
                              <w:autoSpaceDE w:val="0"/>
                              <w:autoSpaceDN w:val="0"/>
                              <w:adjustRightInd w:val="0"/>
                              <w:rPr>
                                <w:rFonts w:eastAsia="Batang"/>
                                <w:color w:val="000000"/>
                                <w:lang w:eastAsia="ko-KR"/>
                              </w:rPr>
                            </w:pPr>
                            <w:r>
                              <w:rPr>
                                <w:rFonts w:eastAsia="Batang"/>
                                <w:color w:val="000000"/>
                                <w:lang w:eastAsia="ko-KR"/>
                              </w:rPr>
                              <w:t>7.2%</w:t>
                            </w:r>
                          </w:p>
                        </w:tc>
                        <w:tc>
                          <w:tcPr>
                            <w:tcW w:w="1710" w:type="dxa"/>
                            <w:tcBorders>
                              <w:top w:val="single" w:sz="4" w:space="0" w:color="auto"/>
                              <w:left w:val="nil"/>
                              <w:bottom w:val="single" w:sz="4" w:space="0" w:color="auto"/>
                              <w:right w:val="single" w:sz="4" w:space="0" w:color="auto"/>
                            </w:tcBorders>
                            <w:vAlign w:val="center"/>
                            <w:hideMark/>
                          </w:tcPr>
                          <w:p w:rsidR="0009546F" w:rsidRDefault="0009546F" w:rsidP="00A475FE">
                            <w:pPr>
                              <w:autoSpaceDE w:val="0"/>
                              <w:autoSpaceDN w:val="0"/>
                              <w:adjustRightInd w:val="0"/>
                              <w:rPr>
                                <w:rFonts w:eastAsia="Batang"/>
                                <w:color w:val="000000"/>
                                <w:lang w:eastAsia="ko-KR"/>
                              </w:rPr>
                            </w:pPr>
                            <w:r>
                              <w:rPr>
                                <w:rFonts w:eastAsia="Batang"/>
                                <w:color w:val="000000"/>
                                <w:lang w:eastAsia="ko-KR"/>
                              </w:rPr>
                              <w:t>n/a</w:t>
                            </w:r>
                          </w:p>
                        </w:tc>
                        <w:tc>
                          <w:tcPr>
                            <w:tcW w:w="1080" w:type="dxa"/>
                            <w:tcBorders>
                              <w:top w:val="nil"/>
                              <w:left w:val="single" w:sz="4" w:space="0" w:color="auto"/>
                              <w:bottom w:val="single" w:sz="4" w:space="0" w:color="auto"/>
                              <w:right w:val="single" w:sz="4" w:space="0" w:color="auto"/>
                            </w:tcBorders>
                            <w:noWrap/>
                            <w:vAlign w:val="center"/>
                            <w:hideMark/>
                          </w:tcPr>
                          <w:p w:rsidR="0009546F" w:rsidRDefault="0009546F" w:rsidP="00A475FE">
                            <w:pPr>
                              <w:autoSpaceDE w:val="0"/>
                              <w:autoSpaceDN w:val="0"/>
                              <w:adjustRightInd w:val="0"/>
                              <w:rPr>
                                <w:rFonts w:eastAsia="Batang"/>
                                <w:color w:val="000000"/>
                                <w:lang w:eastAsia="ko-KR"/>
                              </w:rPr>
                            </w:pPr>
                            <w:r>
                              <w:rPr>
                                <w:rFonts w:eastAsia="Batang"/>
                                <w:color w:val="000000"/>
                                <w:lang w:eastAsia="ko-KR"/>
                              </w:rPr>
                              <w:t>6,151</w:t>
                            </w:r>
                          </w:p>
                        </w:tc>
                      </w:tr>
                      <w:tr w:rsidR="0009546F" w:rsidTr="00A475FE">
                        <w:trPr>
                          <w:trHeight w:val="255"/>
                        </w:trPr>
                        <w:tc>
                          <w:tcPr>
                            <w:tcW w:w="3780" w:type="dxa"/>
                            <w:gridSpan w:val="3"/>
                            <w:tcBorders>
                              <w:top w:val="single" w:sz="4" w:space="0" w:color="auto"/>
                              <w:left w:val="single" w:sz="4" w:space="0" w:color="auto"/>
                              <w:bottom w:val="single" w:sz="4" w:space="0" w:color="auto"/>
                              <w:right w:val="single" w:sz="4" w:space="0" w:color="auto"/>
                            </w:tcBorders>
                            <w:noWrap/>
                            <w:vAlign w:val="center"/>
                            <w:hideMark/>
                          </w:tcPr>
                          <w:p w:rsidR="0009546F" w:rsidRDefault="0009546F" w:rsidP="00A475FE">
                            <w:pPr>
                              <w:autoSpaceDE w:val="0"/>
                              <w:autoSpaceDN w:val="0"/>
                              <w:adjustRightInd w:val="0"/>
                              <w:rPr>
                                <w:rFonts w:eastAsia="Batang"/>
                                <w:color w:val="000000"/>
                                <w:lang w:eastAsia="ko-KR"/>
                              </w:rPr>
                            </w:pPr>
                            <w:r>
                              <w:rPr>
                                <w:rFonts w:eastAsia="Batang"/>
                                <w:color w:val="000000"/>
                                <w:lang w:eastAsia="ko-KR"/>
                              </w:rPr>
                              <w:t>Total Emissions from Sector</w:t>
                            </w:r>
                          </w:p>
                        </w:tc>
                        <w:tc>
                          <w:tcPr>
                            <w:tcW w:w="1080" w:type="dxa"/>
                            <w:tcBorders>
                              <w:top w:val="single" w:sz="4" w:space="0" w:color="auto"/>
                              <w:left w:val="nil"/>
                              <w:bottom w:val="single" w:sz="4" w:space="0" w:color="auto"/>
                              <w:right w:val="single" w:sz="4" w:space="0" w:color="auto"/>
                            </w:tcBorders>
                            <w:noWrap/>
                            <w:vAlign w:val="center"/>
                            <w:hideMark/>
                          </w:tcPr>
                          <w:p w:rsidR="0009546F" w:rsidRDefault="0009546F" w:rsidP="00A475FE">
                            <w:pPr>
                              <w:autoSpaceDE w:val="0"/>
                              <w:autoSpaceDN w:val="0"/>
                              <w:adjustRightInd w:val="0"/>
                              <w:rPr>
                                <w:rFonts w:eastAsia="Batang"/>
                                <w:color w:val="000000"/>
                                <w:lang w:eastAsia="ko-KR"/>
                              </w:rPr>
                            </w:pPr>
                            <w:r>
                              <w:rPr>
                                <w:rFonts w:eastAsia="Batang"/>
                                <w:color w:val="000000"/>
                                <w:lang w:eastAsia="ko-KR"/>
                              </w:rPr>
                              <w:t>194,831</w:t>
                            </w:r>
                          </w:p>
                        </w:tc>
                      </w:tr>
                    </w:tbl>
                    <w:p w:rsidR="0009546F" w:rsidRDefault="0009546F" w:rsidP="009B2F9B">
                      <w:pPr>
                        <w:jc w:val="both"/>
                        <w:rPr>
                          <w:rFonts w:eastAsia="Calibri"/>
                        </w:rPr>
                      </w:pPr>
                    </w:p>
                  </w:txbxContent>
                </v:textbox>
                <w10:wrap type="square"/>
              </v:shape>
            </w:pict>
          </mc:Fallback>
        </mc:AlternateContent>
      </w:r>
      <w:r>
        <w:rPr>
          <w:rFonts w:ascii="Calibri" w:hAnsi="Calibri"/>
        </w:rPr>
        <w:t>In order to account for the likely differences in emission factors for each equipment class, OTC isolated equipment classes for further analysis based on their Source Classification Code (SCC). The NONROAD model was used to estimate populations of 65 nonroad engine types in each of the 13 OTC states during the 2009 baseline year. The population data were further disaggregated by emissions tier and power class and the annual activity (hours in operation) for each equipment type and for three size classes and three emissions tiers was calculated using default values contained in NONROAD input data files and supporting documentation.</w:t>
      </w:r>
    </w:p>
    <w:p w:rsidR="009B2F9B" w:rsidRDefault="009B2F9B" w:rsidP="0081054E">
      <w:pPr>
        <w:pStyle w:val="NoSpacing"/>
        <w:spacing w:before="200"/>
        <w:ind w:left="360"/>
        <w:jc w:val="both"/>
        <w:rPr>
          <w:rFonts w:ascii="Calibri" w:hAnsi="Calibri"/>
        </w:rPr>
      </w:pPr>
      <w:r>
        <w:rPr>
          <w:rFonts w:ascii="Calibri" w:hAnsi="Calibri"/>
        </w:rPr>
        <w:fldChar w:fldCharType="begin"/>
      </w:r>
      <w:r>
        <w:rPr>
          <w:rFonts w:ascii="Calibri" w:hAnsi="Calibri"/>
        </w:rPr>
        <w:instrText xml:space="preserve"> REF _Ref287529904  \* MERGEFORMAT </w:instrText>
      </w:r>
      <w:r>
        <w:rPr>
          <w:rFonts w:ascii="Calibri" w:hAnsi="Calibri"/>
        </w:rPr>
        <w:fldChar w:fldCharType="separate"/>
      </w:r>
      <w:r>
        <w:rPr>
          <w:rFonts w:ascii="Calibri" w:hAnsi="Calibri"/>
        </w:rPr>
        <w:t xml:space="preserve">Table </w:t>
      </w:r>
      <w:r>
        <w:rPr>
          <w:rFonts w:ascii="Calibri" w:hAnsi="Calibri"/>
          <w:noProof/>
        </w:rPr>
        <w:t>2</w:t>
      </w:r>
      <w:r>
        <w:rPr>
          <w:rFonts w:ascii="Calibri" w:hAnsi="Calibri"/>
        </w:rPr>
        <w:fldChar w:fldCharType="end"/>
      </w:r>
      <w:r>
        <w:rPr>
          <w:rFonts w:ascii="Calibri" w:hAnsi="Calibri"/>
        </w:rPr>
        <w:t xml:space="preserve"> shows the potential emissions benefit for the OTC states.  For the 42% case it was assumed that the activity rate included necessary idling so multiple emission reductions were provided based on the range of idling limits provided in section Env-A XXXX.05 of the model rule, where it was assumed that these limits would occur every hour.  For the 7.2% case, since the survey specifically asked about unnecessary idling only the one estimate is included. These estimates are compared to total emissions from the sector as estimated from the NONROAD model.  Significant NO</w:t>
      </w:r>
      <w:r>
        <w:rPr>
          <w:rFonts w:ascii="Calibri" w:hAnsi="Calibri"/>
          <w:vertAlign w:val="subscript"/>
        </w:rPr>
        <w:t>X</w:t>
      </w:r>
      <w:r>
        <w:rPr>
          <w:rFonts w:ascii="Calibri" w:hAnsi="Calibri"/>
        </w:rPr>
        <w:t xml:space="preserve"> emissions could be reduced if idling beyond 5 minutes is to be eliminated in the </w:t>
      </w:r>
      <w:smartTag w:uri="urn:schemas-microsoft-com:office:smarttags" w:element="PlaceType">
        <w:r>
          <w:rPr>
            <w:rFonts w:ascii="Calibri" w:hAnsi="Calibri"/>
          </w:rPr>
          <w:t>OTR</w:t>
        </w:r>
      </w:smartTag>
      <w:r>
        <w:rPr>
          <w:rFonts w:ascii="Calibri" w:hAnsi="Calibri"/>
        </w:rPr>
        <w:t xml:space="preserve"> for construction equipment machines.</w:t>
      </w:r>
    </w:p>
    <w:p w:rsidR="009B2F9B" w:rsidRDefault="009B2F9B" w:rsidP="0081054E">
      <w:pPr>
        <w:pStyle w:val="NoSpacing"/>
        <w:spacing w:before="120" w:after="120"/>
        <w:ind w:left="360"/>
        <w:rPr>
          <w:rFonts w:ascii="Calibri" w:hAnsi="Calibri"/>
        </w:rPr>
      </w:pPr>
      <w:r>
        <w:rPr>
          <w:rFonts w:ascii="Calibri" w:hAnsi="Calibri"/>
        </w:rPr>
        <w:t xml:space="preserve">Emission inventories contain estimates of actual emissions to the air during the relevant time period.  Factors that concern how widespread the impact of the rule is and how effective the rule is are just important as the efficiency of the control itself when estimating actual emissions.  An equation to calculate how these factors impact emission can be seen in </w:t>
      </w:r>
      <w:r>
        <w:rPr>
          <w:rFonts w:ascii="Calibri" w:hAnsi="Calibri"/>
        </w:rPr>
        <w:fldChar w:fldCharType="begin"/>
      </w:r>
      <w:r>
        <w:rPr>
          <w:rFonts w:ascii="Calibri" w:hAnsi="Calibri"/>
        </w:rPr>
        <w:instrText xml:space="preserve"> REF _Ref293574902 \h  \* MERGEFORMAT </w:instrText>
      </w:r>
      <w:r>
        <w:rPr>
          <w:rFonts w:ascii="Calibri" w:hAnsi="Calibri"/>
        </w:rPr>
      </w:r>
      <w:r>
        <w:rPr>
          <w:rFonts w:ascii="Calibri" w:hAnsi="Calibri"/>
        </w:rPr>
        <w:fldChar w:fldCharType="separate"/>
      </w:r>
      <w:r>
        <w:rPr>
          <w:rFonts w:ascii="Calibri" w:hAnsi="Calibri"/>
        </w:rPr>
        <w:t>Equation 2</w:t>
      </w:r>
      <w:r>
        <w:rPr>
          <w:rFonts w:ascii="Calibri" w:hAnsi="Calibri"/>
        </w:rPr>
        <w:fldChar w:fldCharType="end"/>
      </w:r>
      <w:r>
        <w:rPr>
          <w:rFonts w:ascii="Calibri" w:hAnsi="Calibri"/>
        </w:rPr>
        <w:t xml:space="preserve">.  For the case of the nonroad idling model rule the control efficiency would be 100% since the control involves simply turning the engine off, which would result in zero emissions production in a controlled situation.  Rule penetration should be based on the exemptions in the model rule and should be calculated individually on a state by state basis.  If an exemption is in place for a particular SCC that SCC should be removed from the dataset or zeroed out.  Rule effectiveness is largely based on how well enforcement officers are enforcing the rule, with the predominant factor being how often they find violations when visiting a site, a value which would have to be determined on a state by state basis.  Another important factor impacting rule effectiveness is the degree of success of outreach efforts to the regulated community.  It should be noted that existing EPA guidance for the development of emissions inventories does specify that rule effectiveness is not directly </w:t>
      </w:r>
      <w:r w:rsidR="0060782B">
        <w:rPr>
          <w:noProof/>
        </w:rPr>
        <mc:AlternateContent>
          <mc:Choice Requires="wps">
            <w:drawing>
              <wp:anchor distT="0" distB="0" distL="114300" distR="114300" simplePos="0" relativeHeight="251771904" behindDoc="0" locked="1" layoutInCell="1" allowOverlap="0" wp14:anchorId="37F0C09B" wp14:editId="2A19CA42">
                <wp:simplePos x="0" y="0"/>
                <wp:positionH relativeFrom="margin">
                  <wp:posOffset>2838450</wp:posOffset>
                </wp:positionH>
                <wp:positionV relativeFrom="bottomMargin">
                  <wp:posOffset>180975</wp:posOffset>
                </wp:positionV>
                <wp:extent cx="914400" cy="237490"/>
                <wp:effectExtent l="0" t="0" r="0" b="0"/>
                <wp:wrapNone/>
                <wp:docPr id="22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237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782B" w:rsidRDefault="0060782B" w:rsidP="0060782B">
                            <w:pPr>
                              <w:ind w:right="60"/>
                              <w:rPr>
                                <w:rFonts w:asciiTheme="minorHAnsi" w:hAnsiTheme="minorHAnsi"/>
                                <w:sz w:val="20"/>
                                <w:szCs w:val="20"/>
                              </w:rPr>
                            </w:pPr>
                            <w:hyperlink w:anchor="TOC" w:history="1">
                              <w:r>
                                <w:rPr>
                                  <w:rStyle w:val="Hyperlink"/>
                                  <w:sz w:val="20"/>
                                  <w:szCs w:val="20"/>
                                </w:rPr>
                                <w:t>Back to TOC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0C09B" id="Text Box 223" o:spid="_x0000_s1074" type="#_x0000_t202" style="position:absolute;left:0;text-align:left;margin-left:223.5pt;margin-top:14.25pt;width:1in;height:18.7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NdRmQIAAK4FAAAOAAAAZHJzL2Uyb0RvYy54bWysVN9PGzEMfp+0/yHK+7i2FBgnrqgDMU2q&#10;AK1MPKe5hEYkcZakvev+epzc9QeMF6a93DnxZzu2P/visjWarIUPCmxFh0cDSoTlUCv7VNFfDzdf&#10;vlISIrM102BFRTci0MvJ508XjSvFCJaga+EJOrGhbFxFlzG6sigCXwrDwhE4YVEpwRsW8eifitqz&#10;Br0bXYwGg9OiAV87D1yEgLfXnZJOsn8pBY93UgYRia4ovi3mr8/fRfoWkwtWPnnmlor3z2D/8ArD&#10;lMWgO1fXLDKy8uovV0ZxDwFkPOJgCpBScZFzwGyGgzfZzJfMiZwLFie4XZnC/3PLb9f3nqi6oqPR&#10;MSWWGWzSg2gj+QYtSXdYocaFEoFzh9DYogI7nbMNbgb8OSCkOMB0BgHRqSKt9Cb9MVeChtiEza7w&#10;KQ7Hy/PheDxADUfV6PhsfJ4bU+yNnQ/xuwBDklBRj33ND2DrWYgpPCu3kBQrgFb1jdI6HxKXxJX2&#10;ZM2QBToOU05o8QqlLWkqenp8MsiOLSTzDqdtciMym/pwKdsuwSzFjRYJo+1PIbGaOc93YjPOhd3F&#10;z+iEkhjqI4Y9fv+qjxh3eaBFjgw27oyNsuC7vr4uWf28LZns8H2/Q5d3KkFsF22mEdYPq5auFlBv&#10;kDAeuqELjt8o7N6MhXjPPE4ZNhw3R7zDj9SA1YdeomQJ/s979wmP5EctJQ1ObUXD7xXzghL9w+JY&#10;ZCLhmOfD+ORshDH8oWZxqLErcwVIiSHuKMezmPBRb0XpwTzigpmmqKhilmPsisateBW7XYILiovp&#10;NINwsB2LMzt3fDsniZsP7SPzridwRObfwna+WfmGxx02NcjCdBVBqkzyfVX7BuBSyEzuF1jaOofn&#10;jNqv2ckLAAAA//8DAFBLAwQUAAYACAAAACEAy3n/KOAAAAAJAQAADwAAAGRycy9kb3ducmV2Lnht&#10;bEyPwW7CMBBE70j9B2sr9YKKE0QopNmgqioSHDg07YWbibdJ1Hgd2QbSv685tcfZGc2+KTaj6cWF&#10;nO8sI6SzBARxbXXHDcLnx/ZxBcIHxVr1lgnhhzxsyrtJoXJtr/xOlyo0IpawzxVCG8KQS+nrlozy&#10;MzsQR+/LOqNClK6R2qlrLDe9nCfJUhrVcfzQqoFeW6q/q7NBOPjjbnp0u+208lruiQ5v+zQgPtyP&#10;L88gAo3hLww3/IgOZWQ62TNrL3qExeIpbgkI81UGIgaydRoPJ4RltgZZFvL/gvIXAAD//wMAUEsB&#10;Ai0AFAAGAAgAAAAhALaDOJL+AAAA4QEAABMAAAAAAAAAAAAAAAAAAAAAAFtDb250ZW50X1R5cGVz&#10;XS54bWxQSwECLQAUAAYACAAAACEAOP0h/9YAAACUAQAACwAAAAAAAAAAAAAAAAAvAQAAX3JlbHMv&#10;LnJlbHNQSwECLQAUAAYACAAAACEAPJTXUZkCAACuBQAADgAAAAAAAAAAAAAAAAAuAgAAZHJzL2Uy&#10;b0RvYy54bWxQSwECLQAUAAYACAAAACEAy3n/KOAAAAAJAQAADwAAAAAAAAAAAAAAAADzBAAAZHJz&#10;L2Rvd25yZXYueG1sUEsFBgAAAAAEAAQA8wAAAAAGAAAAAA==&#10;" o:allowoverlap="f" fillcolor="white [3201]" stroked="f" strokeweight=".5pt">
                <v:path arrowok="t"/>
                <v:textbox>
                  <w:txbxContent>
                    <w:p w:rsidR="0060782B" w:rsidRDefault="0060782B" w:rsidP="0060782B">
                      <w:pPr>
                        <w:ind w:right="60"/>
                        <w:rPr>
                          <w:rFonts w:asciiTheme="minorHAnsi" w:hAnsiTheme="minorHAnsi"/>
                          <w:sz w:val="20"/>
                          <w:szCs w:val="20"/>
                        </w:rPr>
                      </w:pPr>
                      <w:hyperlink w:anchor="TOC" w:history="1">
                        <w:r>
                          <w:rPr>
                            <w:rStyle w:val="Hyperlink"/>
                            <w:sz w:val="20"/>
                            <w:szCs w:val="20"/>
                          </w:rPr>
                          <w:t>Back to TOC</w:t>
                        </w:r>
                      </w:hyperlink>
                    </w:p>
                  </w:txbxContent>
                </v:textbox>
                <w10:wrap anchorx="margin" anchory="margin"/>
                <w10:anchorlock/>
              </v:shape>
            </w:pict>
          </mc:Fallback>
        </mc:AlternateContent>
      </w:r>
      <w:r>
        <w:rPr>
          <w:rFonts w:ascii="Calibri" w:hAnsi="Calibri"/>
        </w:rPr>
        <w:t>applicable to mobile sources.</w:t>
      </w:r>
    </w:p>
    <w:p w:rsidR="009B2F9B" w:rsidRDefault="009B2F9B" w:rsidP="0081054E">
      <w:pPr>
        <w:pStyle w:val="Caption"/>
        <w:keepNext/>
        <w:spacing w:before="120" w:after="60"/>
        <w:ind w:left="360"/>
        <w:rPr>
          <w:rFonts w:ascii="Calibri" w:hAnsi="Calibri"/>
        </w:rPr>
      </w:pPr>
      <w:bookmarkStart w:id="385" w:name="_Ref293574902"/>
      <w:bookmarkStart w:id="386" w:name="_Toc461106821"/>
      <w:r>
        <w:rPr>
          <w:rFonts w:ascii="Calibri" w:hAnsi="Calibri"/>
        </w:rPr>
        <w:lastRenderedPageBreak/>
        <w:t xml:space="preserve">Equation </w:t>
      </w:r>
      <w:r>
        <w:fldChar w:fldCharType="begin"/>
      </w:r>
      <w:r>
        <w:rPr>
          <w:rFonts w:ascii="Calibri" w:hAnsi="Calibri"/>
        </w:rPr>
        <w:instrText xml:space="preserve"> SEQ Equation \* ARABIC </w:instrText>
      </w:r>
      <w:r>
        <w:fldChar w:fldCharType="separate"/>
      </w:r>
      <w:r>
        <w:rPr>
          <w:rFonts w:ascii="Calibri" w:hAnsi="Calibri"/>
          <w:noProof/>
        </w:rPr>
        <w:t>2</w:t>
      </w:r>
      <w:r>
        <w:fldChar w:fldCharType="end"/>
      </w:r>
      <w:bookmarkEnd w:id="385"/>
      <w:r>
        <w:rPr>
          <w:rFonts w:ascii="Calibri" w:hAnsi="Calibri"/>
        </w:rPr>
        <w:t>: Equation for Calculating Controlled Emissions</w:t>
      </w:r>
      <w:bookmarkEnd w:id="386"/>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0"/>
      </w:tblGrid>
      <w:tr w:rsidR="009B2F9B" w:rsidTr="00A475FE">
        <w:tc>
          <w:tcPr>
            <w:tcW w:w="8100" w:type="dxa"/>
            <w:tcBorders>
              <w:top w:val="nil"/>
              <w:left w:val="nil"/>
              <w:bottom w:val="nil"/>
              <w:right w:val="nil"/>
            </w:tcBorders>
            <w:hideMark/>
          </w:tcPr>
          <w:p w:rsidR="009B2F9B" w:rsidRDefault="009B2F9B" w:rsidP="0081054E">
            <w:pPr>
              <w:pStyle w:val="NoSpacing"/>
              <w:spacing w:after="120"/>
              <w:jc w:val="center"/>
              <w:rPr>
                <w:rFonts w:ascii="Calibri" w:hAnsi="Calibri"/>
                <w:i/>
              </w:rPr>
            </w:pPr>
            <w:r>
              <w:rPr>
                <w:rFonts w:ascii="Calibri" w:hAnsi="Calibri"/>
                <w:i/>
              </w:rPr>
              <w:t>Uncontrolled Emissions * (1–(Control Efficiency * Rule Penetration * Rule Effectiveness)) = Controlled Emissions</w:t>
            </w:r>
          </w:p>
        </w:tc>
      </w:tr>
    </w:tbl>
    <w:p w:rsidR="009B2F9B" w:rsidRDefault="0025362E" w:rsidP="0025362E">
      <w:pPr>
        <w:pStyle w:val="Heading3"/>
        <w:rPr>
          <w:rFonts w:ascii="Calibri Light" w:hAnsi="Calibri Light"/>
        </w:rPr>
      </w:pPr>
      <w:bookmarkStart w:id="387" w:name="_Toc461021009"/>
      <w:bookmarkStart w:id="388" w:name="_Toc461025674"/>
      <w:bookmarkStart w:id="389" w:name="_Toc461025879"/>
      <w:bookmarkStart w:id="390" w:name="_Toc461027153"/>
      <w:r>
        <w:t>3</w:t>
      </w:r>
      <w:r w:rsidR="009B2F9B">
        <w:t>.5.4</w:t>
      </w:r>
      <w:r w:rsidR="009B2F9B">
        <w:tab/>
      </w:r>
      <w:r>
        <w:tab/>
      </w:r>
      <w:r w:rsidR="009B2F9B">
        <w:t>Control Cost Estimate</w:t>
      </w:r>
      <w:bookmarkEnd w:id="387"/>
      <w:bookmarkEnd w:id="388"/>
      <w:bookmarkEnd w:id="389"/>
      <w:bookmarkEnd w:id="390"/>
    </w:p>
    <w:p w:rsidR="009B2F9B" w:rsidRDefault="009B2F9B" w:rsidP="00462C12">
      <w:pPr>
        <w:pStyle w:val="NoSpacing"/>
        <w:spacing w:after="120"/>
        <w:ind w:left="360"/>
        <w:jc w:val="both"/>
        <w:rPr>
          <w:rFonts w:ascii="Calibri" w:hAnsi="Calibri"/>
        </w:rPr>
      </w:pPr>
      <w:r>
        <w:rPr>
          <w:rFonts w:ascii="Calibri" w:hAnsi="Calibri"/>
        </w:rPr>
        <w:t xml:space="preserve">We estimate that this regulation would provide economic benefits to the owners and operators rather than economic costs due to the nature of the control.  The 35 engines tests completed by North Carolina State University included data points for the amount of fuel that was consumed during engine idling.  The same methodology that was employed to calculate emission factors was employed to calculate fuel usage.  If one assumes that the price of diesel is $2.3/gallon this would result in the economic benefits listed in </w:t>
      </w:r>
      <w:r>
        <w:rPr>
          <w:rFonts w:ascii="Calibri" w:hAnsi="Calibri"/>
        </w:rPr>
        <w:fldChar w:fldCharType="begin"/>
      </w:r>
      <w:r>
        <w:rPr>
          <w:rFonts w:ascii="Calibri" w:hAnsi="Calibri"/>
        </w:rPr>
        <w:instrText xml:space="preserve"> REF _Ref287529918 \h  \* MERGEFORMAT </w:instrText>
      </w:r>
      <w:r>
        <w:rPr>
          <w:rFonts w:ascii="Calibri" w:hAnsi="Calibri"/>
        </w:rPr>
      </w:r>
      <w:r>
        <w:rPr>
          <w:rFonts w:ascii="Calibri" w:hAnsi="Calibri"/>
        </w:rPr>
        <w:fldChar w:fldCharType="separate"/>
      </w:r>
      <w:r>
        <w:rPr>
          <w:rFonts w:ascii="Calibri" w:hAnsi="Calibri"/>
        </w:rPr>
        <w:t xml:space="preserve">Table </w:t>
      </w:r>
      <w:r>
        <w:rPr>
          <w:rFonts w:ascii="Calibri" w:hAnsi="Calibri"/>
          <w:noProof/>
        </w:rPr>
        <w:t>3</w:t>
      </w:r>
      <w:r>
        <w:rPr>
          <w:rFonts w:ascii="Calibri" w:hAnsi="Calibri"/>
        </w:rPr>
        <w:fldChar w:fldCharType="end"/>
      </w:r>
      <w:r>
        <w:rPr>
          <w:rFonts w:ascii="Calibri" w:hAnsi="Calibri"/>
        </w:rPr>
        <w:t xml:space="preserve"> </w:t>
      </w:r>
      <w:r>
        <w:rPr>
          <w:rFonts w:ascii="Calibri" w:hAnsi="Calibri"/>
        </w:rPr>
        <w:fldChar w:fldCharType="begin"/>
      </w:r>
      <w:r>
        <w:rPr>
          <w:rFonts w:ascii="Calibri" w:hAnsi="Calibri"/>
        </w:rPr>
        <w:instrText xml:space="preserve"> ADDIN ZOTERO_ITEM CSL_CITATION {"citationID":"175tfjdevq","properties":{"formattedCitation":"(US Energy Information Administration 2016)","plainCitation":"(US Energy Information Administration 2016)"},"citationItems":[{"id":471,"uris":["http://zotero.org/groups/493296/items/RUE6IBH8"],"uri":["http://zotero.org/groups/493296/items/RUE6IBH8"],"itemData":{"type":"webpage","title":"Gasoline and Diesel Fuel Update","container-title":"Gasoline and Diesel Fuel Update","URL":"http://www.eia.gov/petroleum/gasdiesel/","author":[{"family":"US Energy Information Administration","given":"","isInstitution":1}],"issued":{"raw":"August 22, 2016"}}}],"schema":"https://github.com/citation-style-language/schema/raw/master/csl-citation.json"} </w:instrText>
      </w:r>
      <w:r>
        <w:rPr>
          <w:rFonts w:ascii="Calibri" w:hAnsi="Calibri"/>
        </w:rPr>
        <w:fldChar w:fldCharType="separate"/>
      </w:r>
      <w:r>
        <w:rPr>
          <w:rFonts w:ascii="Calibri" w:hAnsi="Calibri"/>
        </w:rPr>
        <w:t>(US Energy Information Administration 2016)</w:t>
      </w:r>
      <w:r>
        <w:rPr>
          <w:rFonts w:ascii="Calibri" w:hAnsi="Calibri"/>
        </w:rPr>
        <w:fldChar w:fldCharType="end"/>
      </w:r>
      <w:r w:rsidR="00BE5463">
        <w:rPr>
          <w:rStyle w:val="FootnoteReference"/>
          <w:rFonts w:ascii="Calibri" w:hAnsi="Calibri"/>
        </w:rPr>
        <w:footnoteReference w:id="27"/>
      </w:r>
      <w:r>
        <w:rPr>
          <w:rFonts w:ascii="Calibri" w:hAnsi="Calibri"/>
        </w:rPr>
        <w:t xml:space="preserve">.  Additionally, there are economic benefits associated with reductions in maintenance and replacement costs due to the reduction in the amount of time equipment engines are left running, but this cost was not estimated.  </w:t>
      </w:r>
    </w:p>
    <w:p w:rsidR="009B2F9B" w:rsidRDefault="009B2F9B" w:rsidP="0081054E">
      <w:pPr>
        <w:pStyle w:val="NoSpacing"/>
      </w:pPr>
      <w:r>
        <w:rPr>
          <w:noProof/>
        </w:rPr>
        <mc:AlternateContent>
          <mc:Choice Requires="wps">
            <w:drawing>
              <wp:inline distT="0" distB="0" distL="0" distR="0" wp14:anchorId="2B0E43C0" wp14:editId="5D49DA31">
                <wp:extent cx="5657222" cy="2076450"/>
                <wp:effectExtent l="0" t="0" r="635" b="0"/>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222" cy="2076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546F" w:rsidRPr="00462C12" w:rsidRDefault="0009546F" w:rsidP="00462C12">
                            <w:pPr>
                              <w:pStyle w:val="Caption"/>
                              <w:keepNext/>
                              <w:spacing w:after="120"/>
                              <w:rPr>
                                <w:rFonts w:asciiTheme="minorHAnsi" w:hAnsiTheme="minorHAnsi"/>
                                <w:sz w:val="22"/>
                                <w:szCs w:val="22"/>
                              </w:rPr>
                            </w:pPr>
                            <w:bookmarkStart w:id="391" w:name="_Toc461106822"/>
                            <w:r w:rsidRPr="00462C12">
                              <w:rPr>
                                <w:rFonts w:asciiTheme="minorHAnsi" w:hAnsiTheme="minorHAnsi"/>
                                <w:sz w:val="22"/>
                                <w:szCs w:val="22"/>
                              </w:rPr>
                              <w:t>Table 3-16</w:t>
                            </w:r>
                            <w:r>
                              <w:rPr>
                                <w:rFonts w:asciiTheme="minorHAnsi" w:hAnsiTheme="minorHAnsi"/>
                                <w:sz w:val="22"/>
                                <w:szCs w:val="22"/>
                              </w:rPr>
                              <w:tab/>
                            </w:r>
                            <w:r w:rsidRPr="00462C12">
                              <w:rPr>
                                <w:rFonts w:asciiTheme="minorHAnsi" w:hAnsiTheme="minorHAnsi"/>
                                <w:sz w:val="22"/>
                                <w:szCs w:val="22"/>
                              </w:rPr>
                              <w:t>Benefits from Avoidable Nonroad Idling, OTC States 2016</w:t>
                            </w:r>
                            <w:bookmarkEnd w:id="391"/>
                          </w:p>
                          <w:tbl>
                            <w:tblPr>
                              <w:tblW w:w="8055" w:type="dxa"/>
                              <w:jc w:val="center"/>
                              <w:tblLayout w:type="fixed"/>
                              <w:tblLook w:val="04A0" w:firstRow="1" w:lastRow="0" w:firstColumn="1" w:lastColumn="0" w:noHBand="0" w:noVBand="1"/>
                            </w:tblPr>
                            <w:tblGrid>
                              <w:gridCol w:w="1423"/>
                              <w:gridCol w:w="1490"/>
                              <w:gridCol w:w="2142"/>
                              <w:gridCol w:w="1320"/>
                              <w:gridCol w:w="1680"/>
                            </w:tblGrid>
                            <w:tr w:rsidR="0009546F" w:rsidTr="00A475FE">
                              <w:trPr>
                                <w:trHeight w:val="343"/>
                                <w:jc w:val="center"/>
                              </w:trPr>
                              <w:tc>
                                <w:tcPr>
                                  <w:tcW w:w="1423" w:type="dxa"/>
                                  <w:tcBorders>
                                    <w:top w:val="single" w:sz="8" w:space="0" w:color="auto"/>
                                    <w:left w:val="single" w:sz="4" w:space="0" w:color="auto"/>
                                    <w:bottom w:val="single" w:sz="4" w:space="0" w:color="auto"/>
                                    <w:right w:val="single" w:sz="4" w:space="0" w:color="auto"/>
                                  </w:tcBorders>
                                  <w:noWrap/>
                                  <w:vAlign w:val="center"/>
                                </w:tcPr>
                                <w:p w:rsidR="0009546F" w:rsidRDefault="0009546F" w:rsidP="00A475FE">
                                  <w:pPr>
                                    <w:autoSpaceDE w:val="0"/>
                                    <w:autoSpaceDN w:val="0"/>
                                    <w:adjustRightInd w:val="0"/>
                                    <w:rPr>
                                      <w:rFonts w:eastAsia="Batang"/>
                                      <w:b/>
                                      <w:bCs/>
                                      <w:color w:val="000000"/>
                                      <w:lang w:eastAsia="ko-KR"/>
                                    </w:rPr>
                                  </w:pPr>
                                </w:p>
                              </w:tc>
                              <w:tc>
                                <w:tcPr>
                                  <w:tcW w:w="1490" w:type="dxa"/>
                                  <w:tcBorders>
                                    <w:top w:val="single" w:sz="8" w:space="0" w:color="auto"/>
                                    <w:left w:val="nil"/>
                                    <w:bottom w:val="single" w:sz="4" w:space="0" w:color="auto"/>
                                    <w:right w:val="single" w:sz="4" w:space="0" w:color="auto"/>
                                  </w:tcBorders>
                                  <w:vAlign w:val="center"/>
                                  <w:hideMark/>
                                </w:tcPr>
                                <w:p w:rsidR="0009546F" w:rsidRDefault="0009546F" w:rsidP="00A475FE">
                                  <w:pPr>
                                    <w:autoSpaceDE w:val="0"/>
                                    <w:autoSpaceDN w:val="0"/>
                                    <w:adjustRightInd w:val="0"/>
                                    <w:rPr>
                                      <w:rFonts w:eastAsia="Batang"/>
                                      <w:b/>
                                      <w:bCs/>
                                      <w:color w:val="000000"/>
                                      <w:lang w:eastAsia="ko-KR"/>
                                    </w:rPr>
                                  </w:pPr>
                                  <w:r>
                                    <w:rPr>
                                      <w:rFonts w:eastAsia="Batang"/>
                                      <w:b/>
                                      <w:bCs/>
                                      <w:color w:val="000000"/>
                                      <w:lang w:eastAsia="ko-KR"/>
                                    </w:rPr>
                                    <w:t>Idling Rate</w:t>
                                  </w:r>
                                </w:p>
                              </w:tc>
                              <w:tc>
                                <w:tcPr>
                                  <w:tcW w:w="2142" w:type="dxa"/>
                                  <w:tcBorders>
                                    <w:top w:val="single" w:sz="8" w:space="0" w:color="auto"/>
                                    <w:left w:val="nil"/>
                                    <w:bottom w:val="single" w:sz="4" w:space="0" w:color="auto"/>
                                    <w:right w:val="single" w:sz="4" w:space="0" w:color="auto"/>
                                  </w:tcBorders>
                                  <w:vAlign w:val="center"/>
                                  <w:hideMark/>
                                </w:tcPr>
                                <w:p w:rsidR="0009546F" w:rsidRDefault="0009546F" w:rsidP="00A475FE">
                                  <w:pPr>
                                    <w:rPr>
                                      <w:rFonts w:eastAsia="Calibri"/>
                                      <w:b/>
                                    </w:rPr>
                                  </w:pPr>
                                  <w:r>
                                    <w:rPr>
                                      <w:b/>
                                    </w:rPr>
                                    <w:t>Necessary Idling Per Hour</w:t>
                                  </w:r>
                                </w:p>
                              </w:tc>
                              <w:tc>
                                <w:tcPr>
                                  <w:tcW w:w="1320" w:type="dxa"/>
                                  <w:tcBorders>
                                    <w:top w:val="single" w:sz="8" w:space="0" w:color="auto"/>
                                    <w:left w:val="single" w:sz="4" w:space="0" w:color="auto"/>
                                    <w:bottom w:val="single" w:sz="4" w:space="0" w:color="auto"/>
                                    <w:right w:val="single" w:sz="4" w:space="0" w:color="auto"/>
                                  </w:tcBorders>
                                  <w:vAlign w:val="center"/>
                                  <w:hideMark/>
                                </w:tcPr>
                                <w:p w:rsidR="0009546F" w:rsidRDefault="0009546F" w:rsidP="00A475FE">
                                  <w:pPr>
                                    <w:rPr>
                                      <w:b/>
                                    </w:rPr>
                                  </w:pPr>
                                  <w:r>
                                    <w:rPr>
                                      <w:b/>
                                    </w:rPr>
                                    <w:t>Fuel (g)</w:t>
                                  </w:r>
                                </w:p>
                              </w:tc>
                              <w:tc>
                                <w:tcPr>
                                  <w:tcW w:w="1680" w:type="dxa"/>
                                  <w:tcBorders>
                                    <w:top w:val="single" w:sz="8" w:space="0" w:color="auto"/>
                                    <w:left w:val="single" w:sz="4" w:space="0" w:color="auto"/>
                                    <w:bottom w:val="single" w:sz="4" w:space="0" w:color="auto"/>
                                    <w:right w:val="single" w:sz="4" w:space="0" w:color="auto"/>
                                  </w:tcBorders>
                                  <w:noWrap/>
                                  <w:vAlign w:val="center"/>
                                  <w:hideMark/>
                                </w:tcPr>
                                <w:p w:rsidR="0009546F" w:rsidRDefault="0009546F" w:rsidP="00A475FE">
                                  <w:pPr>
                                    <w:rPr>
                                      <w:b/>
                                    </w:rPr>
                                  </w:pPr>
                                  <w:r>
                                    <w:rPr>
                                      <w:b/>
                                    </w:rPr>
                                    <w:t>2016 $</w:t>
                                  </w:r>
                                </w:p>
                              </w:tc>
                            </w:tr>
                            <w:tr w:rsidR="0009546F" w:rsidTr="00A475FE">
                              <w:trPr>
                                <w:trHeight w:val="255"/>
                                <w:jc w:val="center"/>
                              </w:trPr>
                              <w:tc>
                                <w:tcPr>
                                  <w:tcW w:w="1423" w:type="dxa"/>
                                  <w:vMerge w:val="restart"/>
                                  <w:tcBorders>
                                    <w:top w:val="nil"/>
                                    <w:left w:val="single" w:sz="4" w:space="0" w:color="auto"/>
                                    <w:bottom w:val="single" w:sz="4" w:space="0" w:color="auto"/>
                                    <w:right w:val="single" w:sz="4" w:space="0" w:color="auto"/>
                                  </w:tcBorders>
                                  <w:noWrap/>
                                  <w:vAlign w:val="center"/>
                                  <w:hideMark/>
                                </w:tcPr>
                                <w:p w:rsidR="0009546F" w:rsidRDefault="0009546F" w:rsidP="00A475FE">
                                  <w:pPr>
                                    <w:autoSpaceDE w:val="0"/>
                                    <w:autoSpaceDN w:val="0"/>
                                    <w:adjustRightInd w:val="0"/>
                                    <w:rPr>
                                      <w:rFonts w:eastAsia="Batang"/>
                                      <w:color w:val="000000"/>
                                      <w:lang w:eastAsia="ko-KR"/>
                                    </w:rPr>
                                  </w:pPr>
                                  <w:r>
                                    <w:rPr>
                                      <w:rFonts w:eastAsia="Batang"/>
                                      <w:color w:val="000000"/>
                                      <w:lang w:eastAsia="ko-KR"/>
                                    </w:rPr>
                                    <w:t>John Deere</w:t>
                                  </w:r>
                                </w:p>
                              </w:tc>
                              <w:tc>
                                <w:tcPr>
                                  <w:tcW w:w="1490" w:type="dxa"/>
                                  <w:vMerge w:val="restart"/>
                                  <w:tcBorders>
                                    <w:top w:val="nil"/>
                                    <w:left w:val="nil"/>
                                    <w:bottom w:val="single" w:sz="4" w:space="0" w:color="auto"/>
                                    <w:right w:val="single" w:sz="4" w:space="0" w:color="auto"/>
                                  </w:tcBorders>
                                  <w:noWrap/>
                                  <w:vAlign w:val="center"/>
                                  <w:hideMark/>
                                </w:tcPr>
                                <w:p w:rsidR="0009546F" w:rsidRDefault="0009546F" w:rsidP="00A475FE">
                                  <w:pPr>
                                    <w:autoSpaceDE w:val="0"/>
                                    <w:autoSpaceDN w:val="0"/>
                                    <w:adjustRightInd w:val="0"/>
                                    <w:rPr>
                                      <w:rFonts w:eastAsia="Batang"/>
                                      <w:color w:val="000000"/>
                                      <w:lang w:eastAsia="ko-KR"/>
                                    </w:rPr>
                                  </w:pPr>
                                  <w:r>
                                    <w:rPr>
                                      <w:rFonts w:eastAsia="Batang"/>
                                      <w:color w:val="000000"/>
                                      <w:lang w:eastAsia="ko-KR"/>
                                    </w:rPr>
                                    <w:t>42%</w:t>
                                  </w:r>
                                </w:p>
                              </w:tc>
                              <w:tc>
                                <w:tcPr>
                                  <w:tcW w:w="2142" w:type="dxa"/>
                                  <w:tcBorders>
                                    <w:top w:val="single" w:sz="4" w:space="0" w:color="auto"/>
                                    <w:left w:val="nil"/>
                                    <w:bottom w:val="single" w:sz="4" w:space="0" w:color="auto"/>
                                    <w:right w:val="single" w:sz="4" w:space="0" w:color="auto"/>
                                  </w:tcBorders>
                                  <w:vAlign w:val="center"/>
                                  <w:hideMark/>
                                </w:tcPr>
                                <w:p w:rsidR="0009546F" w:rsidRDefault="0009546F" w:rsidP="00A475FE">
                                  <w:pPr>
                                    <w:rPr>
                                      <w:rFonts w:eastAsia="Calibri"/>
                                    </w:rPr>
                                  </w:pPr>
                                  <w:r>
                                    <w:rPr>
                                      <w:rFonts w:eastAsia="Batang"/>
                                      <w:color w:val="000000"/>
                                      <w:lang w:eastAsia="ko-KR"/>
                                    </w:rPr>
                                    <w:t>0 min</w:t>
                                  </w:r>
                                </w:p>
                              </w:tc>
                              <w:tc>
                                <w:tcPr>
                                  <w:tcW w:w="1320" w:type="dxa"/>
                                  <w:tcBorders>
                                    <w:top w:val="single" w:sz="4" w:space="0" w:color="auto"/>
                                    <w:left w:val="single" w:sz="4" w:space="0" w:color="auto"/>
                                    <w:bottom w:val="single" w:sz="4" w:space="0" w:color="auto"/>
                                    <w:right w:val="single" w:sz="4" w:space="0" w:color="auto"/>
                                  </w:tcBorders>
                                  <w:vAlign w:val="center"/>
                                  <w:hideMark/>
                                </w:tcPr>
                                <w:p w:rsidR="0009546F" w:rsidRDefault="0009546F" w:rsidP="00A475FE">
                                  <w:r>
                                    <w:t>30,327,964</w:t>
                                  </w:r>
                                </w:p>
                              </w:tc>
                              <w:tc>
                                <w:tcPr>
                                  <w:tcW w:w="1680" w:type="dxa"/>
                                  <w:tcBorders>
                                    <w:top w:val="nil"/>
                                    <w:left w:val="single" w:sz="4" w:space="0" w:color="auto"/>
                                    <w:bottom w:val="single" w:sz="4" w:space="0" w:color="auto"/>
                                    <w:right w:val="single" w:sz="4" w:space="0" w:color="auto"/>
                                  </w:tcBorders>
                                  <w:noWrap/>
                                  <w:vAlign w:val="center"/>
                                  <w:hideMark/>
                                </w:tcPr>
                                <w:p w:rsidR="0009546F" w:rsidRDefault="0009546F" w:rsidP="00A475FE">
                                  <w:r>
                                    <w:t>69,754,316</w:t>
                                  </w:r>
                                </w:p>
                              </w:tc>
                            </w:tr>
                            <w:tr w:rsidR="0009546F" w:rsidTr="00A475FE">
                              <w:trPr>
                                <w:trHeight w:val="255"/>
                                <w:jc w:val="center"/>
                              </w:trPr>
                              <w:tc>
                                <w:tcPr>
                                  <w:tcW w:w="1423" w:type="dxa"/>
                                  <w:vMerge/>
                                  <w:tcBorders>
                                    <w:top w:val="nil"/>
                                    <w:left w:val="single" w:sz="4" w:space="0" w:color="auto"/>
                                    <w:bottom w:val="single" w:sz="4" w:space="0" w:color="auto"/>
                                    <w:right w:val="single" w:sz="4" w:space="0" w:color="auto"/>
                                  </w:tcBorders>
                                  <w:vAlign w:val="center"/>
                                  <w:hideMark/>
                                </w:tcPr>
                                <w:p w:rsidR="0009546F" w:rsidRDefault="0009546F" w:rsidP="00A475FE">
                                  <w:pPr>
                                    <w:rPr>
                                      <w:rFonts w:eastAsia="Batang"/>
                                      <w:color w:val="000000"/>
                                      <w:lang w:eastAsia="ko-KR"/>
                                    </w:rPr>
                                  </w:pPr>
                                </w:p>
                              </w:tc>
                              <w:tc>
                                <w:tcPr>
                                  <w:tcW w:w="1490" w:type="dxa"/>
                                  <w:vMerge/>
                                  <w:tcBorders>
                                    <w:top w:val="nil"/>
                                    <w:left w:val="nil"/>
                                    <w:bottom w:val="single" w:sz="4" w:space="0" w:color="auto"/>
                                    <w:right w:val="single" w:sz="4" w:space="0" w:color="auto"/>
                                  </w:tcBorders>
                                  <w:vAlign w:val="center"/>
                                  <w:hideMark/>
                                </w:tcPr>
                                <w:p w:rsidR="0009546F" w:rsidRDefault="0009546F" w:rsidP="00A475FE">
                                  <w:pPr>
                                    <w:rPr>
                                      <w:rFonts w:eastAsia="Batang"/>
                                      <w:color w:val="000000"/>
                                      <w:lang w:eastAsia="ko-KR"/>
                                    </w:rPr>
                                  </w:pPr>
                                </w:p>
                              </w:tc>
                              <w:tc>
                                <w:tcPr>
                                  <w:tcW w:w="2142" w:type="dxa"/>
                                  <w:tcBorders>
                                    <w:top w:val="single" w:sz="4" w:space="0" w:color="auto"/>
                                    <w:left w:val="nil"/>
                                    <w:bottom w:val="single" w:sz="4" w:space="0" w:color="auto"/>
                                    <w:right w:val="single" w:sz="4" w:space="0" w:color="auto"/>
                                  </w:tcBorders>
                                  <w:vAlign w:val="center"/>
                                  <w:hideMark/>
                                </w:tcPr>
                                <w:p w:rsidR="0009546F" w:rsidRDefault="0009546F" w:rsidP="00A475FE">
                                  <w:r>
                                    <w:rPr>
                                      <w:rFonts w:eastAsia="Batang"/>
                                      <w:color w:val="000000"/>
                                      <w:lang w:eastAsia="ko-KR"/>
                                    </w:rPr>
                                    <w:t>3 min</w:t>
                                  </w:r>
                                </w:p>
                              </w:tc>
                              <w:tc>
                                <w:tcPr>
                                  <w:tcW w:w="1320" w:type="dxa"/>
                                  <w:tcBorders>
                                    <w:top w:val="single" w:sz="4" w:space="0" w:color="auto"/>
                                    <w:left w:val="single" w:sz="4" w:space="0" w:color="auto"/>
                                    <w:bottom w:val="single" w:sz="4" w:space="0" w:color="auto"/>
                                    <w:right w:val="single" w:sz="4" w:space="0" w:color="auto"/>
                                  </w:tcBorders>
                                  <w:vAlign w:val="center"/>
                                  <w:hideMark/>
                                </w:tcPr>
                                <w:p w:rsidR="0009546F" w:rsidRDefault="0009546F" w:rsidP="00A475FE">
                                  <w:r>
                                    <w:t>26,536,968</w:t>
                                  </w:r>
                                </w:p>
                              </w:tc>
                              <w:tc>
                                <w:tcPr>
                                  <w:tcW w:w="1680" w:type="dxa"/>
                                  <w:tcBorders>
                                    <w:top w:val="nil"/>
                                    <w:left w:val="single" w:sz="4" w:space="0" w:color="auto"/>
                                    <w:bottom w:val="single" w:sz="4" w:space="0" w:color="auto"/>
                                    <w:right w:val="single" w:sz="4" w:space="0" w:color="auto"/>
                                  </w:tcBorders>
                                  <w:noWrap/>
                                  <w:vAlign w:val="center"/>
                                  <w:hideMark/>
                                </w:tcPr>
                                <w:p w:rsidR="0009546F" w:rsidRDefault="0009546F" w:rsidP="00A475FE">
                                  <w:r>
                                    <w:t>61,035,027</w:t>
                                  </w:r>
                                </w:p>
                              </w:tc>
                            </w:tr>
                            <w:tr w:rsidR="0009546F" w:rsidTr="00A475FE">
                              <w:trPr>
                                <w:trHeight w:val="140"/>
                                <w:jc w:val="center"/>
                              </w:trPr>
                              <w:tc>
                                <w:tcPr>
                                  <w:tcW w:w="1423" w:type="dxa"/>
                                  <w:vMerge/>
                                  <w:tcBorders>
                                    <w:top w:val="nil"/>
                                    <w:left w:val="single" w:sz="4" w:space="0" w:color="auto"/>
                                    <w:bottom w:val="single" w:sz="4" w:space="0" w:color="auto"/>
                                    <w:right w:val="single" w:sz="4" w:space="0" w:color="auto"/>
                                  </w:tcBorders>
                                  <w:vAlign w:val="center"/>
                                  <w:hideMark/>
                                </w:tcPr>
                                <w:p w:rsidR="0009546F" w:rsidRDefault="0009546F" w:rsidP="00A475FE">
                                  <w:pPr>
                                    <w:rPr>
                                      <w:rFonts w:eastAsia="Batang"/>
                                      <w:color w:val="000000"/>
                                      <w:lang w:eastAsia="ko-KR"/>
                                    </w:rPr>
                                  </w:pPr>
                                </w:p>
                              </w:tc>
                              <w:tc>
                                <w:tcPr>
                                  <w:tcW w:w="1490" w:type="dxa"/>
                                  <w:vMerge/>
                                  <w:tcBorders>
                                    <w:top w:val="nil"/>
                                    <w:left w:val="nil"/>
                                    <w:bottom w:val="single" w:sz="4" w:space="0" w:color="auto"/>
                                    <w:right w:val="single" w:sz="4" w:space="0" w:color="auto"/>
                                  </w:tcBorders>
                                  <w:vAlign w:val="center"/>
                                  <w:hideMark/>
                                </w:tcPr>
                                <w:p w:rsidR="0009546F" w:rsidRDefault="0009546F" w:rsidP="00A475FE">
                                  <w:pPr>
                                    <w:rPr>
                                      <w:rFonts w:eastAsia="Batang"/>
                                      <w:color w:val="000000"/>
                                      <w:lang w:eastAsia="ko-KR"/>
                                    </w:rPr>
                                  </w:pPr>
                                </w:p>
                              </w:tc>
                              <w:tc>
                                <w:tcPr>
                                  <w:tcW w:w="2142" w:type="dxa"/>
                                  <w:tcBorders>
                                    <w:top w:val="single" w:sz="4" w:space="0" w:color="auto"/>
                                    <w:left w:val="nil"/>
                                    <w:bottom w:val="single" w:sz="4" w:space="0" w:color="auto"/>
                                    <w:right w:val="single" w:sz="4" w:space="0" w:color="auto"/>
                                  </w:tcBorders>
                                  <w:vAlign w:val="center"/>
                                  <w:hideMark/>
                                </w:tcPr>
                                <w:p w:rsidR="0009546F" w:rsidRDefault="0009546F" w:rsidP="00A475FE">
                                  <w:r>
                                    <w:rPr>
                                      <w:rFonts w:eastAsia="Batang"/>
                                      <w:color w:val="000000"/>
                                      <w:lang w:eastAsia="ko-KR"/>
                                    </w:rPr>
                                    <w:t>5 min</w:t>
                                  </w:r>
                                </w:p>
                              </w:tc>
                              <w:tc>
                                <w:tcPr>
                                  <w:tcW w:w="1320" w:type="dxa"/>
                                  <w:tcBorders>
                                    <w:top w:val="single" w:sz="4" w:space="0" w:color="auto"/>
                                    <w:left w:val="single" w:sz="4" w:space="0" w:color="auto"/>
                                    <w:bottom w:val="single" w:sz="4" w:space="0" w:color="auto"/>
                                    <w:right w:val="single" w:sz="4" w:space="0" w:color="auto"/>
                                  </w:tcBorders>
                                  <w:vAlign w:val="center"/>
                                  <w:hideMark/>
                                </w:tcPr>
                                <w:p w:rsidR="0009546F" w:rsidRDefault="0009546F" w:rsidP="00A475FE">
                                  <w:r>
                                    <w:t>24,262,371</w:t>
                                  </w:r>
                                </w:p>
                              </w:tc>
                              <w:tc>
                                <w:tcPr>
                                  <w:tcW w:w="1680" w:type="dxa"/>
                                  <w:tcBorders>
                                    <w:top w:val="nil"/>
                                    <w:left w:val="single" w:sz="4" w:space="0" w:color="auto"/>
                                    <w:bottom w:val="single" w:sz="4" w:space="0" w:color="auto"/>
                                    <w:right w:val="single" w:sz="4" w:space="0" w:color="auto"/>
                                  </w:tcBorders>
                                  <w:noWrap/>
                                  <w:vAlign w:val="center"/>
                                  <w:hideMark/>
                                </w:tcPr>
                                <w:p w:rsidR="0009546F" w:rsidRDefault="0009546F" w:rsidP="00A475FE">
                                  <w:r>
                                    <w:t>55,803,453</w:t>
                                  </w:r>
                                </w:p>
                              </w:tc>
                            </w:tr>
                            <w:tr w:rsidR="0009546F" w:rsidTr="00A475FE">
                              <w:trPr>
                                <w:trHeight w:val="255"/>
                                <w:jc w:val="center"/>
                              </w:trPr>
                              <w:tc>
                                <w:tcPr>
                                  <w:tcW w:w="1423" w:type="dxa"/>
                                  <w:tcBorders>
                                    <w:top w:val="nil"/>
                                    <w:left w:val="single" w:sz="4" w:space="0" w:color="auto"/>
                                    <w:bottom w:val="single" w:sz="4" w:space="0" w:color="auto"/>
                                    <w:right w:val="single" w:sz="4" w:space="0" w:color="auto"/>
                                  </w:tcBorders>
                                  <w:noWrap/>
                                  <w:vAlign w:val="center"/>
                                  <w:hideMark/>
                                </w:tcPr>
                                <w:p w:rsidR="0009546F" w:rsidRDefault="0009546F" w:rsidP="00A475FE">
                                  <w:pPr>
                                    <w:autoSpaceDE w:val="0"/>
                                    <w:autoSpaceDN w:val="0"/>
                                    <w:adjustRightInd w:val="0"/>
                                    <w:rPr>
                                      <w:rFonts w:eastAsia="Batang"/>
                                      <w:color w:val="000000"/>
                                      <w:lang w:eastAsia="ko-KR"/>
                                    </w:rPr>
                                  </w:pPr>
                                  <w:r>
                                    <w:rPr>
                                      <w:rFonts w:eastAsia="Batang"/>
                                      <w:color w:val="000000"/>
                                      <w:lang w:eastAsia="ko-KR"/>
                                    </w:rPr>
                                    <w:t>CARB</w:t>
                                  </w:r>
                                </w:p>
                              </w:tc>
                              <w:tc>
                                <w:tcPr>
                                  <w:tcW w:w="1490" w:type="dxa"/>
                                  <w:tcBorders>
                                    <w:top w:val="nil"/>
                                    <w:left w:val="nil"/>
                                    <w:bottom w:val="single" w:sz="4" w:space="0" w:color="auto"/>
                                    <w:right w:val="single" w:sz="4" w:space="0" w:color="auto"/>
                                  </w:tcBorders>
                                  <w:noWrap/>
                                  <w:vAlign w:val="center"/>
                                  <w:hideMark/>
                                </w:tcPr>
                                <w:p w:rsidR="0009546F" w:rsidRDefault="0009546F" w:rsidP="00A475FE">
                                  <w:pPr>
                                    <w:autoSpaceDE w:val="0"/>
                                    <w:autoSpaceDN w:val="0"/>
                                    <w:adjustRightInd w:val="0"/>
                                    <w:rPr>
                                      <w:rFonts w:eastAsia="Batang"/>
                                      <w:color w:val="000000"/>
                                      <w:lang w:eastAsia="ko-KR"/>
                                    </w:rPr>
                                  </w:pPr>
                                  <w:r>
                                    <w:rPr>
                                      <w:rFonts w:eastAsia="Batang"/>
                                      <w:color w:val="000000"/>
                                      <w:lang w:eastAsia="ko-KR"/>
                                    </w:rPr>
                                    <w:t>7.2%</w:t>
                                  </w:r>
                                </w:p>
                              </w:tc>
                              <w:tc>
                                <w:tcPr>
                                  <w:tcW w:w="2142" w:type="dxa"/>
                                  <w:tcBorders>
                                    <w:top w:val="single" w:sz="4" w:space="0" w:color="auto"/>
                                    <w:left w:val="nil"/>
                                    <w:bottom w:val="single" w:sz="4" w:space="0" w:color="auto"/>
                                    <w:right w:val="single" w:sz="4" w:space="0" w:color="auto"/>
                                  </w:tcBorders>
                                  <w:vAlign w:val="center"/>
                                  <w:hideMark/>
                                </w:tcPr>
                                <w:p w:rsidR="0009546F" w:rsidRDefault="0009546F" w:rsidP="00A475FE">
                                  <w:pPr>
                                    <w:rPr>
                                      <w:rFonts w:eastAsia="Calibri"/>
                                    </w:rPr>
                                  </w:pPr>
                                  <w:r>
                                    <w:rPr>
                                      <w:rFonts w:eastAsia="Batang"/>
                                      <w:color w:val="000000"/>
                                      <w:lang w:eastAsia="ko-KR"/>
                                    </w:rPr>
                                    <w:t>n/a</w:t>
                                  </w:r>
                                </w:p>
                              </w:tc>
                              <w:tc>
                                <w:tcPr>
                                  <w:tcW w:w="1320" w:type="dxa"/>
                                  <w:tcBorders>
                                    <w:top w:val="single" w:sz="4" w:space="0" w:color="auto"/>
                                    <w:left w:val="single" w:sz="4" w:space="0" w:color="auto"/>
                                    <w:bottom w:val="single" w:sz="4" w:space="0" w:color="auto"/>
                                    <w:right w:val="single" w:sz="4" w:space="0" w:color="auto"/>
                                  </w:tcBorders>
                                  <w:vAlign w:val="center"/>
                                  <w:hideMark/>
                                </w:tcPr>
                                <w:p w:rsidR="0009546F" w:rsidRDefault="0009546F" w:rsidP="00A475FE">
                                  <w:r>
                                    <w:t>5,307,394</w:t>
                                  </w:r>
                                </w:p>
                              </w:tc>
                              <w:tc>
                                <w:tcPr>
                                  <w:tcW w:w="1680" w:type="dxa"/>
                                  <w:tcBorders>
                                    <w:top w:val="nil"/>
                                    <w:left w:val="single" w:sz="4" w:space="0" w:color="auto"/>
                                    <w:bottom w:val="single" w:sz="4" w:space="0" w:color="auto"/>
                                    <w:right w:val="single" w:sz="4" w:space="0" w:color="auto"/>
                                  </w:tcBorders>
                                  <w:noWrap/>
                                  <w:vAlign w:val="center"/>
                                  <w:hideMark/>
                                </w:tcPr>
                                <w:p w:rsidR="0009546F" w:rsidRDefault="0009546F" w:rsidP="00A475FE">
                                  <w:r>
                                    <w:t>12,207,006</w:t>
                                  </w:r>
                                </w:p>
                              </w:tc>
                            </w:tr>
                          </w:tbl>
                          <w:p w:rsidR="0009546F" w:rsidRDefault="0009546F" w:rsidP="009B2F9B"/>
                        </w:txbxContent>
                      </wps:txbx>
                      <wps:bodyPr rot="0" vert="horz" wrap="square" lIns="91440" tIns="45720" rIns="91440" bIns="45720" anchor="t" anchorCtr="0" upright="1">
                        <a:noAutofit/>
                      </wps:bodyPr>
                    </wps:wsp>
                  </a:graphicData>
                </a:graphic>
              </wp:inline>
            </w:drawing>
          </mc:Choice>
          <mc:Fallback>
            <w:pict>
              <v:shape w14:anchorId="2B0E43C0" id="Text Box 5" o:spid="_x0000_s1075" type="#_x0000_t202" style="width:445.45pt;height: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HljhQIAABcFAAAOAAAAZHJzL2Uyb0RvYy54bWysVNuO2yAQfa/Uf0C8Z32RncTWOqu9NFWl&#10;7UXa7QcQwDEqBgok9rbqv3fASZpuW6mq6gcMzHCYmXOGy6uxl2jPrRNaNTi7SDHiimom1LbBHx/X&#10;syVGzhPFiNSKN/iJO3y1evnicjA1z3WnJeMWAYhy9WAa3Hlv6iRxtOM9cRfacAXGVtueeFjabcIs&#10;GQC9l0mepvNk0JYZqyl3DnbvJiNeRfy25dS/b1vHPZINhth8HG0cN2FMVpek3lpiOkEPYZB/iKIn&#10;QsGlJ6g74gnaWfELVC+o1U63/oLqPtFtKyiPOUA2Wfosm4eOGB5zgeI4cyqT+3+w9N3+g0WCNbjE&#10;SJEeKHrko0c3ekRlqM5gXA1ODwbc/AjbwHLM1Jl7TT85pPRtR9SWX1urh44TBtFl4WRydnTCcQFk&#10;M7zVDK4hO68j0NjaPpQOioEAHVh6OjETQqGwWc7LRZ7nGFGw5eliXpSRu4TUx+PGOv+a6x6FSYMt&#10;UB/hyf7e+RAOqY8u4TanpWBrIWVc2O3mVlq0JyCTdfxiBs/cpArOSodjE+K0A1HCHcEW4o20f62y&#10;vEhv8mq2ni8Xs2JdlLNqkS5naVbdVPO0qIq79bcQYFbUnWCMq3uh+FGCWfF3FB+aYRJPFCEaGlyV&#10;eTlx9Mck0/j9LsleeOhIKfoGL09OpA7MvlIM0ia1J0JO8+Tn8GOVoQbHf6xK1EGgfhKBHzdjFFx+&#10;lNdGsycQhtVAG7APrwlMOm2/YDRAZzbYfd4RyzGSbxSIq8qKIrRyXBSgC1jYc8vm3EIUBagGe4ym&#10;6a2f2n9nrNh2cNMkZ6WvQZCtiFIJyp2iOsgYui/mdHgpQnufr6PXj/ds9R0AAP//AwBQSwMEFAAG&#10;AAgAAAAhANQ680XbAAAABQEAAA8AAABkcnMvZG93bnJldi54bWxMj8FOwzAQRO9I/IO1SFwQtVug&#10;aUKcqiCBuLb0AzbxNomI11HsNunf4/YCl5VGM5p5m68n24kTDb51rGE+UyCIK2darjXsvz8eVyB8&#10;QDbYOSYNZ/KwLm5vcsyMG3lLp12oRSxhn6GGJoQ+k9JXDVn0M9cTR+/gBoshyqGWZsAxlttOLpRa&#10;Sostx4UGe3pvqPrZHa2Gw9f48JKO5WfYJ9vn5Ru2SenOWt/fTZtXEIGm8BeGC35EhyIyle7IxotO&#10;Q3wkXG/0VqlKQZQanhaJAlnk8j998QsAAP//AwBQSwECLQAUAAYACAAAACEAtoM4kv4AAADhAQAA&#10;EwAAAAAAAAAAAAAAAAAAAAAAW0NvbnRlbnRfVHlwZXNdLnhtbFBLAQItABQABgAIAAAAIQA4/SH/&#10;1gAAAJQBAAALAAAAAAAAAAAAAAAAAC8BAABfcmVscy8ucmVsc1BLAQItABQABgAIAAAAIQA9yHlj&#10;hQIAABcFAAAOAAAAAAAAAAAAAAAAAC4CAABkcnMvZTJvRG9jLnhtbFBLAQItABQABgAIAAAAIQDU&#10;OvNF2wAAAAUBAAAPAAAAAAAAAAAAAAAAAN8EAABkcnMvZG93bnJldi54bWxQSwUGAAAAAAQABADz&#10;AAAA5wUAAAAA&#10;" stroked="f">
                <v:textbox>
                  <w:txbxContent>
                    <w:p w:rsidR="0009546F" w:rsidRPr="00462C12" w:rsidRDefault="0009546F" w:rsidP="00462C12">
                      <w:pPr>
                        <w:pStyle w:val="Caption"/>
                        <w:keepNext/>
                        <w:spacing w:after="120"/>
                        <w:rPr>
                          <w:rFonts w:asciiTheme="minorHAnsi" w:hAnsiTheme="minorHAnsi"/>
                          <w:sz w:val="22"/>
                          <w:szCs w:val="22"/>
                        </w:rPr>
                      </w:pPr>
                      <w:bookmarkStart w:id="392" w:name="_Toc461106822"/>
                      <w:r w:rsidRPr="00462C12">
                        <w:rPr>
                          <w:rFonts w:asciiTheme="minorHAnsi" w:hAnsiTheme="minorHAnsi"/>
                          <w:sz w:val="22"/>
                          <w:szCs w:val="22"/>
                        </w:rPr>
                        <w:t>Table 3-16</w:t>
                      </w:r>
                      <w:r>
                        <w:rPr>
                          <w:rFonts w:asciiTheme="minorHAnsi" w:hAnsiTheme="minorHAnsi"/>
                          <w:sz w:val="22"/>
                          <w:szCs w:val="22"/>
                        </w:rPr>
                        <w:tab/>
                      </w:r>
                      <w:r w:rsidRPr="00462C12">
                        <w:rPr>
                          <w:rFonts w:asciiTheme="minorHAnsi" w:hAnsiTheme="minorHAnsi"/>
                          <w:sz w:val="22"/>
                          <w:szCs w:val="22"/>
                        </w:rPr>
                        <w:t>Benefits from Avoidable Nonroad Idling, OTC States 2016</w:t>
                      </w:r>
                      <w:bookmarkEnd w:id="392"/>
                    </w:p>
                    <w:tbl>
                      <w:tblPr>
                        <w:tblW w:w="8055" w:type="dxa"/>
                        <w:jc w:val="center"/>
                        <w:tblLayout w:type="fixed"/>
                        <w:tblLook w:val="04A0" w:firstRow="1" w:lastRow="0" w:firstColumn="1" w:lastColumn="0" w:noHBand="0" w:noVBand="1"/>
                      </w:tblPr>
                      <w:tblGrid>
                        <w:gridCol w:w="1423"/>
                        <w:gridCol w:w="1490"/>
                        <w:gridCol w:w="2142"/>
                        <w:gridCol w:w="1320"/>
                        <w:gridCol w:w="1680"/>
                      </w:tblGrid>
                      <w:tr w:rsidR="0009546F" w:rsidTr="00A475FE">
                        <w:trPr>
                          <w:trHeight w:val="343"/>
                          <w:jc w:val="center"/>
                        </w:trPr>
                        <w:tc>
                          <w:tcPr>
                            <w:tcW w:w="1423" w:type="dxa"/>
                            <w:tcBorders>
                              <w:top w:val="single" w:sz="8" w:space="0" w:color="auto"/>
                              <w:left w:val="single" w:sz="4" w:space="0" w:color="auto"/>
                              <w:bottom w:val="single" w:sz="4" w:space="0" w:color="auto"/>
                              <w:right w:val="single" w:sz="4" w:space="0" w:color="auto"/>
                            </w:tcBorders>
                            <w:noWrap/>
                            <w:vAlign w:val="center"/>
                          </w:tcPr>
                          <w:p w:rsidR="0009546F" w:rsidRDefault="0009546F" w:rsidP="00A475FE">
                            <w:pPr>
                              <w:autoSpaceDE w:val="0"/>
                              <w:autoSpaceDN w:val="0"/>
                              <w:adjustRightInd w:val="0"/>
                              <w:rPr>
                                <w:rFonts w:eastAsia="Batang"/>
                                <w:b/>
                                <w:bCs/>
                                <w:color w:val="000000"/>
                                <w:lang w:eastAsia="ko-KR"/>
                              </w:rPr>
                            </w:pPr>
                          </w:p>
                        </w:tc>
                        <w:tc>
                          <w:tcPr>
                            <w:tcW w:w="1490" w:type="dxa"/>
                            <w:tcBorders>
                              <w:top w:val="single" w:sz="8" w:space="0" w:color="auto"/>
                              <w:left w:val="nil"/>
                              <w:bottom w:val="single" w:sz="4" w:space="0" w:color="auto"/>
                              <w:right w:val="single" w:sz="4" w:space="0" w:color="auto"/>
                            </w:tcBorders>
                            <w:vAlign w:val="center"/>
                            <w:hideMark/>
                          </w:tcPr>
                          <w:p w:rsidR="0009546F" w:rsidRDefault="0009546F" w:rsidP="00A475FE">
                            <w:pPr>
                              <w:autoSpaceDE w:val="0"/>
                              <w:autoSpaceDN w:val="0"/>
                              <w:adjustRightInd w:val="0"/>
                              <w:rPr>
                                <w:rFonts w:eastAsia="Batang"/>
                                <w:b/>
                                <w:bCs/>
                                <w:color w:val="000000"/>
                                <w:lang w:eastAsia="ko-KR"/>
                              </w:rPr>
                            </w:pPr>
                            <w:r>
                              <w:rPr>
                                <w:rFonts w:eastAsia="Batang"/>
                                <w:b/>
                                <w:bCs/>
                                <w:color w:val="000000"/>
                                <w:lang w:eastAsia="ko-KR"/>
                              </w:rPr>
                              <w:t>Idling Rate</w:t>
                            </w:r>
                          </w:p>
                        </w:tc>
                        <w:tc>
                          <w:tcPr>
                            <w:tcW w:w="2142" w:type="dxa"/>
                            <w:tcBorders>
                              <w:top w:val="single" w:sz="8" w:space="0" w:color="auto"/>
                              <w:left w:val="nil"/>
                              <w:bottom w:val="single" w:sz="4" w:space="0" w:color="auto"/>
                              <w:right w:val="single" w:sz="4" w:space="0" w:color="auto"/>
                            </w:tcBorders>
                            <w:vAlign w:val="center"/>
                            <w:hideMark/>
                          </w:tcPr>
                          <w:p w:rsidR="0009546F" w:rsidRDefault="0009546F" w:rsidP="00A475FE">
                            <w:pPr>
                              <w:rPr>
                                <w:rFonts w:eastAsia="Calibri"/>
                                <w:b/>
                              </w:rPr>
                            </w:pPr>
                            <w:r>
                              <w:rPr>
                                <w:b/>
                              </w:rPr>
                              <w:t>Necessary Idling Per Hour</w:t>
                            </w:r>
                          </w:p>
                        </w:tc>
                        <w:tc>
                          <w:tcPr>
                            <w:tcW w:w="1320" w:type="dxa"/>
                            <w:tcBorders>
                              <w:top w:val="single" w:sz="8" w:space="0" w:color="auto"/>
                              <w:left w:val="single" w:sz="4" w:space="0" w:color="auto"/>
                              <w:bottom w:val="single" w:sz="4" w:space="0" w:color="auto"/>
                              <w:right w:val="single" w:sz="4" w:space="0" w:color="auto"/>
                            </w:tcBorders>
                            <w:vAlign w:val="center"/>
                            <w:hideMark/>
                          </w:tcPr>
                          <w:p w:rsidR="0009546F" w:rsidRDefault="0009546F" w:rsidP="00A475FE">
                            <w:pPr>
                              <w:rPr>
                                <w:b/>
                              </w:rPr>
                            </w:pPr>
                            <w:r>
                              <w:rPr>
                                <w:b/>
                              </w:rPr>
                              <w:t>Fuel (g)</w:t>
                            </w:r>
                          </w:p>
                        </w:tc>
                        <w:tc>
                          <w:tcPr>
                            <w:tcW w:w="1680" w:type="dxa"/>
                            <w:tcBorders>
                              <w:top w:val="single" w:sz="8" w:space="0" w:color="auto"/>
                              <w:left w:val="single" w:sz="4" w:space="0" w:color="auto"/>
                              <w:bottom w:val="single" w:sz="4" w:space="0" w:color="auto"/>
                              <w:right w:val="single" w:sz="4" w:space="0" w:color="auto"/>
                            </w:tcBorders>
                            <w:noWrap/>
                            <w:vAlign w:val="center"/>
                            <w:hideMark/>
                          </w:tcPr>
                          <w:p w:rsidR="0009546F" w:rsidRDefault="0009546F" w:rsidP="00A475FE">
                            <w:pPr>
                              <w:rPr>
                                <w:b/>
                              </w:rPr>
                            </w:pPr>
                            <w:r>
                              <w:rPr>
                                <w:b/>
                              </w:rPr>
                              <w:t>2016 $</w:t>
                            </w:r>
                          </w:p>
                        </w:tc>
                      </w:tr>
                      <w:tr w:rsidR="0009546F" w:rsidTr="00A475FE">
                        <w:trPr>
                          <w:trHeight w:val="255"/>
                          <w:jc w:val="center"/>
                        </w:trPr>
                        <w:tc>
                          <w:tcPr>
                            <w:tcW w:w="1423" w:type="dxa"/>
                            <w:vMerge w:val="restart"/>
                            <w:tcBorders>
                              <w:top w:val="nil"/>
                              <w:left w:val="single" w:sz="4" w:space="0" w:color="auto"/>
                              <w:bottom w:val="single" w:sz="4" w:space="0" w:color="auto"/>
                              <w:right w:val="single" w:sz="4" w:space="0" w:color="auto"/>
                            </w:tcBorders>
                            <w:noWrap/>
                            <w:vAlign w:val="center"/>
                            <w:hideMark/>
                          </w:tcPr>
                          <w:p w:rsidR="0009546F" w:rsidRDefault="0009546F" w:rsidP="00A475FE">
                            <w:pPr>
                              <w:autoSpaceDE w:val="0"/>
                              <w:autoSpaceDN w:val="0"/>
                              <w:adjustRightInd w:val="0"/>
                              <w:rPr>
                                <w:rFonts w:eastAsia="Batang"/>
                                <w:color w:val="000000"/>
                                <w:lang w:eastAsia="ko-KR"/>
                              </w:rPr>
                            </w:pPr>
                            <w:r>
                              <w:rPr>
                                <w:rFonts w:eastAsia="Batang"/>
                                <w:color w:val="000000"/>
                                <w:lang w:eastAsia="ko-KR"/>
                              </w:rPr>
                              <w:t>John Deere</w:t>
                            </w:r>
                          </w:p>
                        </w:tc>
                        <w:tc>
                          <w:tcPr>
                            <w:tcW w:w="1490" w:type="dxa"/>
                            <w:vMerge w:val="restart"/>
                            <w:tcBorders>
                              <w:top w:val="nil"/>
                              <w:left w:val="nil"/>
                              <w:bottom w:val="single" w:sz="4" w:space="0" w:color="auto"/>
                              <w:right w:val="single" w:sz="4" w:space="0" w:color="auto"/>
                            </w:tcBorders>
                            <w:noWrap/>
                            <w:vAlign w:val="center"/>
                            <w:hideMark/>
                          </w:tcPr>
                          <w:p w:rsidR="0009546F" w:rsidRDefault="0009546F" w:rsidP="00A475FE">
                            <w:pPr>
                              <w:autoSpaceDE w:val="0"/>
                              <w:autoSpaceDN w:val="0"/>
                              <w:adjustRightInd w:val="0"/>
                              <w:rPr>
                                <w:rFonts w:eastAsia="Batang"/>
                                <w:color w:val="000000"/>
                                <w:lang w:eastAsia="ko-KR"/>
                              </w:rPr>
                            </w:pPr>
                            <w:r>
                              <w:rPr>
                                <w:rFonts w:eastAsia="Batang"/>
                                <w:color w:val="000000"/>
                                <w:lang w:eastAsia="ko-KR"/>
                              </w:rPr>
                              <w:t>42%</w:t>
                            </w:r>
                          </w:p>
                        </w:tc>
                        <w:tc>
                          <w:tcPr>
                            <w:tcW w:w="2142" w:type="dxa"/>
                            <w:tcBorders>
                              <w:top w:val="single" w:sz="4" w:space="0" w:color="auto"/>
                              <w:left w:val="nil"/>
                              <w:bottom w:val="single" w:sz="4" w:space="0" w:color="auto"/>
                              <w:right w:val="single" w:sz="4" w:space="0" w:color="auto"/>
                            </w:tcBorders>
                            <w:vAlign w:val="center"/>
                            <w:hideMark/>
                          </w:tcPr>
                          <w:p w:rsidR="0009546F" w:rsidRDefault="0009546F" w:rsidP="00A475FE">
                            <w:pPr>
                              <w:rPr>
                                <w:rFonts w:eastAsia="Calibri"/>
                              </w:rPr>
                            </w:pPr>
                            <w:r>
                              <w:rPr>
                                <w:rFonts w:eastAsia="Batang"/>
                                <w:color w:val="000000"/>
                                <w:lang w:eastAsia="ko-KR"/>
                              </w:rPr>
                              <w:t>0 min</w:t>
                            </w:r>
                          </w:p>
                        </w:tc>
                        <w:tc>
                          <w:tcPr>
                            <w:tcW w:w="1320" w:type="dxa"/>
                            <w:tcBorders>
                              <w:top w:val="single" w:sz="4" w:space="0" w:color="auto"/>
                              <w:left w:val="single" w:sz="4" w:space="0" w:color="auto"/>
                              <w:bottom w:val="single" w:sz="4" w:space="0" w:color="auto"/>
                              <w:right w:val="single" w:sz="4" w:space="0" w:color="auto"/>
                            </w:tcBorders>
                            <w:vAlign w:val="center"/>
                            <w:hideMark/>
                          </w:tcPr>
                          <w:p w:rsidR="0009546F" w:rsidRDefault="0009546F" w:rsidP="00A475FE">
                            <w:r>
                              <w:t>30,327,964</w:t>
                            </w:r>
                          </w:p>
                        </w:tc>
                        <w:tc>
                          <w:tcPr>
                            <w:tcW w:w="1680" w:type="dxa"/>
                            <w:tcBorders>
                              <w:top w:val="nil"/>
                              <w:left w:val="single" w:sz="4" w:space="0" w:color="auto"/>
                              <w:bottom w:val="single" w:sz="4" w:space="0" w:color="auto"/>
                              <w:right w:val="single" w:sz="4" w:space="0" w:color="auto"/>
                            </w:tcBorders>
                            <w:noWrap/>
                            <w:vAlign w:val="center"/>
                            <w:hideMark/>
                          </w:tcPr>
                          <w:p w:rsidR="0009546F" w:rsidRDefault="0009546F" w:rsidP="00A475FE">
                            <w:r>
                              <w:t>69,754,316</w:t>
                            </w:r>
                          </w:p>
                        </w:tc>
                      </w:tr>
                      <w:tr w:rsidR="0009546F" w:rsidTr="00A475FE">
                        <w:trPr>
                          <w:trHeight w:val="255"/>
                          <w:jc w:val="center"/>
                        </w:trPr>
                        <w:tc>
                          <w:tcPr>
                            <w:tcW w:w="1423" w:type="dxa"/>
                            <w:vMerge/>
                            <w:tcBorders>
                              <w:top w:val="nil"/>
                              <w:left w:val="single" w:sz="4" w:space="0" w:color="auto"/>
                              <w:bottom w:val="single" w:sz="4" w:space="0" w:color="auto"/>
                              <w:right w:val="single" w:sz="4" w:space="0" w:color="auto"/>
                            </w:tcBorders>
                            <w:vAlign w:val="center"/>
                            <w:hideMark/>
                          </w:tcPr>
                          <w:p w:rsidR="0009546F" w:rsidRDefault="0009546F" w:rsidP="00A475FE">
                            <w:pPr>
                              <w:rPr>
                                <w:rFonts w:eastAsia="Batang"/>
                                <w:color w:val="000000"/>
                                <w:lang w:eastAsia="ko-KR"/>
                              </w:rPr>
                            </w:pPr>
                          </w:p>
                        </w:tc>
                        <w:tc>
                          <w:tcPr>
                            <w:tcW w:w="1490" w:type="dxa"/>
                            <w:vMerge/>
                            <w:tcBorders>
                              <w:top w:val="nil"/>
                              <w:left w:val="nil"/>
                              <w:bottom w:val="single" w:sz="4" w:space="0" w:color="auto"/>
                              <w:right w:val="single" w:sz="4" w:space="0" w:color="auto"/>
                            </w:tcBorders>
                            <w:vAlign w:val="center"/>
                            <w:hideMark/>
                          </w:tcPr>
                          <w:p w:rsidR="0009546F" w:rsidRDefault="0009546F" w:rsidP="00A475FE">
                            <w:pPr>
                              <w:rPr>
                                <w:rFonts w:eastAsia="Batang"/>
                                <w:color w:val="000000"/>
                                <w:lang w:eastAsia="ko-KR"/>
                              </w:rPr>
                            </w:pPr>
                          </w:p>
                        </w:tc>
                        <w:tc>
                          <w:tcPr>
                            <w:tcW w:w="2142" w:type="dxa"/>
                            <w:tcBorders>
                              <w:top w:val="single" w:sz="4" w:space="0" w:color="auto"/>
                              <w:left w:val="nil"/>
                              <w:bottom w:val="single" w:sz="4" w:space="0" w:color="auto"/>
                              <w:right w:val="single" w:sz="4" w:space="0" w:color="auto"/>
                            </w:tcBorders>
                            <w:vAlign w:val="center"/>
                            <w:hideMark/>
                          </w:tcPr>
                          <w:p w:rsidR="0009546F" w:rsidRDefault="0009546F" w:rsidP="00A475FE">
                            <w:r>
                              <w:rPr>
                                <w:rFonts w:eastAsia="Batang"/>
                                <w:color w:val="000000"/>
                                <w:lang w:eastAsia="ko-KR"/>
                              </w:rPr>
                              <w:t>3 min</w:t>
                            </w:r>
                          </w:p>
                        </w:tc>
                        <w:tc>
                          <w:tcPr>
                            <w:tcW w:w="1320" w:type="dxa"/>
                            <w:tcBorders>
                              <w:top w:val="single" w:sz="4" w:space="0" w:color="auto"/>
                              <w:left w:val="single" w:sz="4" w:space="0" w:color="auto"/>
                              <w:bottom w:val="single" w:sz="4" w:space="0" w:color="auto"/>
                              <w:right w:val="single" w:sz="4" w:space="0" w:color="auto"/>
                            </w:tcBorders>
                            <w:vAlign w:val="center"/>
                            <w:hideMark/>
                          </w:tcPr>
                          <w:p w:rsidR="0009546F" w:rsidRDefault="0009546F" w:rsidP="00A475FE">
                            <w:r>
                              <w:t>26,536,968</w:t>
                            </w:r>
                          </w:p>
                        </w:tc>
                        <w:tc>
                          <w:tcPr>
                            <w:tcW w:w="1680" w:type="dxa"/>
                            <w:tcBorders>
                              <w:top w:val="nil"/>
                              <w:left w:val="single" w:sz="4" w:space="0" w:color="auto"/>
                              <w:bottom w:val="single" w:sz="4" w:space="0" w:color="auto"/>
                              <w:right w:val="single" w:sz="4" w:space="0" w:color="auto"/>
                            </w:tcBorders>
                            <w:noWrap/>
                            <w:vAlign w:val="center"/>
                            <w:hideMark/>
                          </w:tcPr>
                          <w:p w:rsidR="0009546F" w:rsidRDefault="0009546F" w:rsidP="00A475FE">
                            <w:r>
                              <w:t>61,035,027</w:t>
                            </w:r>
                          </w:p>
                        </w:tc>
                      </w:tr>
                      <w:tr w:rsidR="0009546F" w:rsidTr="00A475FE">
                        <w:trPr>
                          <w:trHeight w:val="140"/>
                          <w:jc w:val="center"/>
                        </w:trPr>
                        <w:tc>
                          <w:tcPr>
                            <w:tcW w:w="1423" w:type="dxa"/>
                            <w:vMerge/>
                            <w:tcBorders>
                              <w:top w:val="nil"/>
                              <w:left w:val="single" w:sz="4" w:space="0" w:color="auto"/>
                              <w:bottom w:val="single" w:sz="4" w:space="0" w:color="auto"/>
                              <w:right w:val="single" w:sz="4" w:space="0" w:color="auto"/>
                            </w:tcBorders>
                            <w:vAlign w:val="center"/>
                            <w:hideMark/>
                          </w:tcPr>
                          <w:p w:rsidR="0009546F" w:rsidRDefault="0009546F" w:rsidP="00A475FE">
                            <w:pPr>
                              <w:rPr>
                                <w:rFonts w:eastAsia="Batang"/>
                                <w:color w:val="000000"/>
                                <w:lang w:eastAsia="ko-KR"/>
                              </w:rPr>
                            </w:pPr>
                          </w:p>
                        </w:tc>
                        <w:tc>
                          <w:tcPr>
                            <w:tcW w:w="1490" w:type="dxa"/>
                            <w:vMerge/>
                            <w:tcBorders>
                              <w:top w:val="nil"/>
                              <w:left w:val="nil"/>
                              <w:bottom w:val="single" w:sz="4" w:space="0" w:color="auto"/>
                              <w:right w:val="single" w:sz="4" w:space="0" w:color="auto"/>
                            </w:tcBorders>
                            <w:vAlign w:val="center"/>
                            <w:hideMark/>
                          </w:tcPr>
                          <w:p w:rsidR="0009546F" w:rsidRDefault="0009546F" w:rsidP="00A475FE">
                            <w:pPr>
                              <w:rPr>
                                <w:rFonts w:eastAsia="Batang"/>
                                <w:color w:val="000000"/>
                                <w:lang w:eastAsia="ko-KR"/>
                              </w:rPr>
                            </w:pPr>
                          </w:p>
                        </w:tc>
                        <w:tc>
                          <w:tcPr>
                            <w:tcW w:w="2142" w:type="dxa"/>
                            <w:tcBorders>
                              <w:top w:val="single" w:sz="4" w:space="0" w:color="auto"/>
                              <w:left w:val="nil"/>
                              <w:bottom w:val="single" w:sz="4" w:space="0" w:color="auto"/>
                              <w:right w:val="single" w:sz="4" w:space="0" w:color="auto"/>
                            </w:tcBorders>
                            <w:vAlign w:val="center"/>
                            <w:hideMark/>
                          </w:tcPr>
                          <w:p w:rsidR="0009546F" w:rsidRDefault="0009546F" w:rsidP="00A475FE">
                            <w:r>
                              <w:rPr>
                                <w:rFonts w:eastAsia="Batang"/>
                                <w:color w:val="000000"/>
                                <w:lang w:eastAsia="ko-KR"/>
                              </w:rPr>
                              <w:t>5 min</w:t>
                            </w:r>
                          </w:p>
                        </w:tc>
                        <w:tc>
                          <w:tcPr>
                            <w:tcW w:w="1320" w:type="dxa"/>
                            <w:tcBorders>
                              <w:top w:val="single" w:sz="4" w:space="0" w:color="auto"/>
                              <w:left w:val="single" w:sz="4" w:space="0" w:color="auto"/>
                              <w:bottom w:val="single" w:sz="4" w:space="0" w:color="auto"/>
                              <w:right w:val="single" w:sz="4" w:space="0" w:color="auto"/>
                            </w:tcBorders>
                            <w:vAlign w:val="center"/>
                            <w:hideMark/>
                          </w:tcPr>
                          <w:p w:rsidR="0009546F" w:rsidRDefault="0009546F" w:rsidP="00A475FE">
                            <w:r>
                              <w:t>24,262,371</w:t>
                            </w:r>
                          </w:p>
                        </w:tc>
                        <w:tc>
                          <w:tcPr>
                            <w:tcW w:w="1680" w:type="dxa"/>
                            <w:tcBorders>
                              <w:top w:val="nil"/>
                              <w:left w:val="single" w:sz="4" w:space="0" w:color="auto"/>
                              <w:bottom w:val="single" w:sz="4" w:space="0" w:color="auto"/>
                              <w:right w:val="single" w:sz="4" w:space="0" w:color="auto"/>
                            </w:tcBorders>
                            <w:noWrap/>
                            <w:vAlign w:val="center"/>
                            <w:hideMark/>
                          </w:tcPr>
                          <w:p w:rsidR="0009546F" w:rsidRDefault="0009546F" w:rsidP="00A475FE">
                            <w:r>
                              <w:t>55,803,453</w:t>
                            </w:r>
                          </w:p>
                        </w:tc>
                      </w:tr>
                      <w:tr w:rsidR="0009546F" w:rsidTr="00A475FE">
                        <w:trPr>
                          <w:trHeight w:val="255"/>
                          <w:jc w:val="center"/>
                        </w:trPr>
                        <w:tc>
                          <w:tcPr>
                            <w:tcW w:w="1423" w:type="dxa"/>
                            <w:tcBorders>
                              <w:top w:val="nil"/>
                              <w:left w:val="single" w:sz="4" w:space="0" w:color="auto"/>
                              <w:bottom w:val="single" w:sz="4" w:space="0" w:color="auto"/>
                              <w:right w:val="single" w:sz="4" w:space="0" w:color="auto"/>
                            </w:tcBorders>
                            <w:noWrap/>
                            <w:vAlign w:val="center"/>
                            <w:hideMark/>
                          </w:tcPr>
                          <w:p w:rsidR="0009546F" w:rsidRDefault="0009546F" w:rsidP="00A475FE">
                            <w:pPr>
                              <w:autoSpaceDE w:val="0"/>
                              <w:autoSpaceDN w:val="0"/>
                              <w:adjustRightInd w:val="0"/>
                              <w:rPr>
                                <w:rFonts w:eastAsia="Batang"/>
                                <w:color w:val="000000"/>
                                <w:lang w:eastAsia="ko-KR"/>
                              </w:rPr>
                            </w:pPr>
                            <w:r>
                              <w:rPr>
                                <w:rFonts w:eastAsia="Batang"/>
                                <w:color w:val="000000"/>
                                <w:lang w:eastAsia="ko-KR"/>
                              </w:rPr>
                              <w:t>CARB</w:t>
                            </w:r>
                          </w:p>
                        </w:tc>
                        <w:tc>
                          <w:tcPr>
                            <w:tcW w:w="1490" w:type="dxa"/>
                            <w:tcBorders>
                              <w:top w:val="nil"/>
                              <w:left w:val="nil"/>
                              <w:bottom w:val="single" w:sz="4" w:space="0" w:color="auto"/>
                              <w:right w:val="single" w:sz="4" w:space="0" w:color="auto"/>
                            </w:tcBorders>
                            <w:noWrap/>
                            <w:vAlign w:val="center"/>
                            <w:hideMark/>
                          </w:tcPr>
                          <w:p w:rsidR="0009546F" w:rsidRDefault="0009546F" w:rsidP="00A475FE">
                            <w:pPr>
                              <w:autoSpaceDE w:val="0"/>
                              <w:autoSpaceDN w:val="0"/>
                              <w:adjustRightInd w:val="0"/>
                              <w:rPr>
                                <w:rFonts w:eastAsia="Batang"/>
                                <w:color w:val="000000"/>
                                <w:lang w:eastAsia="ko-KR"/>
                              </w:rPr>
                            </w:pPr>
                            <w:r>
                              <w:rPr>
                                <w:rFonts w:eastAsia="Batang"/>
                                <w:color w:val="000000"/>
                                <w:lang w:eastAsia="ko-KR"/>
                              </w:rPr>
                              <w:t>7.2%</w:t>
                            </w:r>
                          </w:p>
                        </w:tc>
                        <w:tc>
                          <w:tcPr>
                            <w:tcW w:w="2142" w:type="dxa"/>
                            <w:tcBorders>
                              <w:top w:val="single" w:sz="4" w:space="0" w:color="auto"/>
                              <w:left w:val="nil"/>
                              <w:bottom w:val="single" w:sz="4" w:space="0" w:color="auto"/>
                              <w:right w:val="single" w:sz="4" w:space="0" w:color="auto"/>
                            </w:tcBorders>
                            <w:vAlign w:val="center"/>
                            <w:hideMark/>
                          </w:tcPr>
                          <w:p w:rsidR="0009546F" w:rsidRDefault="0009546F" w:rsidP="00A475FE">
                            <w:pPr>
                              <w:rPr>
                                <w:rFonts w:eastAsia="Calibri"/>
                              </w:rPr>
                            </w:pPr>
                            <w:r>
                              <w:rPr>
                                <w:rFonts w:eastAsia="Batang"/>
                                <w:color w:val="000000"/>
                                <w:lang w:eastAsia="ko-KR"/>
                              </w:rPr>
                              <w:t>n/a</w:t>
                            </w:r>
                          </w:p>
                        </w:tc>
                        <w:tc>
                          <w:tcPr>
                            <w:tcW w:w="1320" w:type="dxa"/>
                            <w:tcBorders>
                              <w:top w:val="single" w:sz="4" w:space="0" w:color="auto"/>
                              <w:left w:val="single" w:sz="4" w:space="0" w:color="auto"/>
                              <w:bottom w:val="single" w:sz="4" w:space="0" w:color="auto"/>
                              <w:right w:val="single" w:sz="4" w:space="0" w:color="auto"/>
                            </w:tcBorders>
                            <w:vAlign w:val="center"/>
                            <w:hideMark/>
                          </w:tcPr>
                          <w:p w:rsidR="0009546F" w:rsidRDefault="0009546F" w:rsidP="00A475FE">
                            <w:r>
                              <w:t>5,307,394</w:t>
                            </w:r>
                          </w:p>
                        </w:tc>
                        <w:tc>
                          <w:tcPr>
                            <w:tcW w:w="1680" w:type="dxa"/>
                            <w:tcBorders>
                              <w:top w:val="nil"/>
                              <w:left w:val="single" w:sz="4" w:space="0" w:color="auto"/>
                              <w:bottom w:val="single" w:sz="4" w:space="0" w:color="auto"/>
                              <w:right w:val="single" w:sz="4" w:space="0" w:color="auto"/>
                            </w:tcBorders>
                            <w:noWrap/>
                            <w:vAlign w:val="center"/>
                            <w:hideMark/>
                          </w:tcPr>
                          <w:p w:rsidR="0009546F" w:rsidRDefault="0009546F" w:rsidP="00A475FE">
                            <w:r>
                              <w:t>12,207,006</w:t>
                            </w:r>
                          </w:p>
                        </w:tc>
                      </w:tr>
                    </w:tbl>
                    <w:p w:rsidR="0009546F" w:rsidRDefault="0009546F" w:rsidP="009B2F9B"/>
                  </w:txbxContent>
                </v:textbox>
                <w10:anchorlock/>
              </v:shape>
            </w:pict>
          </mc:Fallback>
        </mc:AlternateContent>
      </w:r>
    </w:p>
    <w:p w:rsidR="009B2F9B" w:rsidRDefault="0025362E" w:rsidP="0025362E">
      <w:pPr>
        <w:pStyle w:val="Heading3"/>
      </w:pPr>
      <w:bookmarkStart w:id="393" w:name="_Toc461021010"/>
      <w:bookmarkStart w:id="394" w:name="_Toc461025675"/>
      <w:bookmarkStart w:id="395" w:name="_Toc461025880"/>
      <w:bookmarkStart w:id="396" w:name="_Toc461027154"/>
      <w:r>
        <w:t>3</w:t>
      </w:r>
      <w:r w:rsidR="009B2F9B">
        <w:t>.5.5</w:t>
      </w:r>
      <w:r>
        <w:tab/>
      </w:r>
      <w:r w:rsidR="009B2F9B">
        <w:tab/>
        <w:t>Emissions Reduction Benefits for Other Pollutants</w:t>
      </w:r>
      <w:bookmarkEnd w:id="393"/>
      <w:bookmarkEnd w:id="394"/>
      <w:bookmarkEnd w:id="395"/>
      <w:bookmarkEnd w:id="396"/>
    </w:p>
    <w:p w:rsidR="009B2F9B" w:rsidRDefault="009B2F9B" w:rsidP="0081054E">
      <w:pPr>
        <w:pStyle w:val="NoSpacing"/>
        <w:spacing w:after="120"/>
        <w:ind w:left="360"/>
        <w:jc w:val="both"/>
        <w:rPr>
          <w:rFonts w:ascii="Calibri" w:hAnsi="Calibri"/>
        </w:rPr>
      </w:pPr>
      <w:r>
        <w:rPr>
          <w:noProof/>
        </w:rPr>
        <mc:AlternateContent>
          <mc:Choice Requires="wps">
            <w:drawing>
              <wp:anchor distT="0" distB="0" distL="114300" distR="114300" simplePos="0" relativeHeight="251661312" behindDoc="0" locked="0" layoutInCell="1" allowOverlap="1" wp14:anchorId="7544618A" wp14:editId="5B5EDFDF">
                <wp:simplePos x="0" y="0"/>
                <wp:positionH relativeFrom="column">
                  <wp:posOffset>1790700</wp:posOffset>
                </wp:positionH>
                <wp:positionV relativeFrom="paragraph">
                  <wp:posOffset>36195</wp:posOffset>
                </wp:positionV>
                <wp:extent cx="4049395" cy="2600325"/>
                <wp:effectExtent l="0" t="0" r="8255" b="9525"/>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9395" cy="2600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546F" w:rsidRPr="007C0785" w:rsidRDefault="0009546F" w:rsidP="007C0785">
                            <w:pPr>
                              <w:pStyle w:val="Caption"/>
                              <w:keepNext/>
                              <w:spacing w:after="120"/>
                              <w:rPr>
                                <w:rFonts w:asciiTheme="minorHAnsi" w:hAnsiTheme="minorHAnsi"/>
                                <w:sz w:val="22"/>
                                <w:szCs w:val="22"/>
                              </w:rPr>
                            </w:pPr>
                            <w:bookmarkStart w:id="397" w:name="_Toc461106823"/>
                            <w:r w:rsidRPr="007C0785">
                              <w:rPr>
                                <w:rFonts w:asciiTheme="minorHAnsi" w:hAnsiTheme="minorHAnsi"/>
                                <w:sz w:val="22"/>
                                <w:szCs w:val="22"/>
                              </w:rPr>
                              <w:t>Table 3-17</w:t>
                            </w:r>
                            <w:r>
                              <w:rPr>
                                <w:rFonts w:asciiTheme="minorHAnsi" w:hAnsiTheme="minorHAnsi"/>
                                <w:sz w:val="22"/>
                                <w:szCs w:val="22"/>
                              </w:rPr>
                              <w:tab/>
                            </w:r>
                            <w:r w:rsidRPr="007C0785">
                              <w:rPr>
                                <w:rFonts w:asciiTheme="minorHAnsi" w:hAnsiTheme="minorHAnsi"/>
                                <w:sz w:val="22"/>
                                <w:szCs w:val="22"/>
                              </w:rPr>
                              <w:t>Emissions from Avoidable Nonroad Idling, OTC States 2009 (tpy)</w:t>
                            </w:r>
                            <w:bookmarkEnd w:id="397"/>
                          </w:p>
                          <w:tbl>
                            <w:tblPr>
                              <w:tblW w:w="5940" w:type="dxa"/>
                              <w:tblInd w:w="-95" w:type="dxa"/>
                              <w:tblLook w:val="04A0" w:firstRow="1" w:lastRow="0" w:firstColumn="1" w:lastColumn="0" w:noHBand="0" w:noVBand="1"/>
                            </w:tblPr>
                            <w:tblGrid>
                              <w:gridCol w:w="1350"/>
                              <w:gridCol w:w="1080"/>
                              <w:gridCol w:w="1710"/>
                              <w:gridCol w:w="885"/>
                              <w:gridCol w:w="915"/>
                            </w:tblGrid>
                            <w:tr w:rsidR="0009546F" w:rsidTr="00A475FE">
                              <w:trPr>
                                <w:trHeight w:val="343"/>
                              </w:trPr>
                              <w:tc>
                                <w:tcPr>
                                  <w:tcW w:w="1350" w:type="dxa"/>
                                  <w:tcBorders>
                                    <w:top w:val="single" w:sz="8" w:space="0" w:color="auto"/>
                                    <w:left w:val="single" w:sz="4" w:space="0" w:color="auto"/>
                                    <w:bottom w:val="single" w:sz="4" w:space="0" w:color="auto"/>
                                    <w:right w:val="single" w:sz="4" w:space="0" w:color="auto"/>
                                  </w:tcBorders>
                                  <w:noWrap/>
                                  <w:vAlign w:val="center"/>
                                </w:tcPr>
                                <w:p w:rsidR="0009546F" w:rsidRDefault="0009546F">
                                  <w:pPr>
                                    <w:autoSpaceDE w:val="0"/>
                                    <w:autoSpaceDN w:val="0"/>
                                    <w:adjustRightInd w:val="0"/>
                                    <w:rPr>
                                      <w:rFonts w:eastAsia="Batang"/>
                                      <w:b/>
                                      <w:bCs/>
                                      <w:color w:val="000000"/>
                                      <w:lang w:eastAsia="ko-KR"/>
                                    </w:rPr>
                                  </w:pPr>
                                </w:p>
                              </w:tc>
                              <w:tc>
                                <w:tcPr>
                                  <w:tcW w:w="1080" w:type="dxa"/>
                                  <w:tcBorders>
                                    <w:top w:val="single" w:sz="8" w:space="0" w:color="auto"/>
                                    <w:left w:val="nil"/>
                                    <w:bottom w:val="single" w:sz="4" w:space="0" w:color="auto"/>
                                    <w:right w:val="single" w:sz="4" w:space="0" w:color="auto"/>
                                  </w:tcBorders>
                                  <w:vAlign w:val="center"/>
                                  <w:hideMark/>
                                </w:tcPr>
                                <w:p w:rsidR="0009546F" w:rsidRDefault="0009546F">
                                  <w:pPr>
                                    <w:autoSpaceDE w:val="0"/>
                                    <w:autoSpaceDN w:val="0"/>
                                    <w:adjustRightInd w:val="0"/>
                                    <w:rPr>
                                      <w:rFonts w:eastAsia="Batang"/>
                                      <w:b/>
                                      <w:bCs/>
                                      <w:color w:val="000000"/>
                                      <w:lang w:eastAsia="ko-KR"/>
                                    </w:rPr>
                                  </w:pPr>
                                  <w:r>
                                    <w:rPr>
                                      <w:rFonts w:eastAsia="Batang"/>
                                      <w:b/>
                                      <w:bCs/>
                                      <w:color w:val="000000"/>
                                      <w:lang w:eastAsia="ko-KR"/>
                                    </w:rPr>
                                    <w:t>Idling Rate</w:t>
                                  </w:r>
                                </w:p>
                              </w:tc>
                              <w:tc>
                                <w:tcPr>
                                  <w:tcW w:w="1710" w:type="dxa"/>
                                  <w:tcBorders>
                                    <w:top w:val="single" w:sz="8" w:space="0" w:color="auto"/>
                                    <w:left w:val="nil"/>
                                    <w:bottom w:val="single" w:sz="4" w:space="0" w:color="auto"/>
                                    <w:right w:val="single" w:sz="4" w:space="0" w:color="auto"/>
                                  </w:tcBorders>
                                  <w:vAlign w:val="center"/>
                                  <w:hideMark/>
                                </w:tcPr>
                                <w:p w:rsidR="0009546F" w:rsidRDefault="0009546F">
                                  <w:pPr>
                                    <w:rPr>
                                      <w:rFonts w:eastAsia="Calibri"/>
                                      <w:b/>
                                    </w:rPr>
                                  </w:pPr>
                                  <w:r>
                                    <w:rPr>
                                      <w:b/>
                                    </w:rPr>
                                    <w:t>Necessary Idling Per Hour</w:t>
                                  </w:r>
                                </w:p>
                              </w:tc>
                              <w:tc>
                                <w:tcPr>
                                  <w:tcW w:w="885" w:type="dxa"/>
                                  <w:tcBorders>
                                    <w:top w:val="single" w:sz="8" w:space="0" w:color="auto"/>
                                    <w:left w:val="single" w:sz="4" w:space="0" w:color="auto"/>
                                    <w:bottom w:val="single" w:sz="4" w:space="0" w:color="auto"/>
                                    <w:right w:val="single" w:sz="4" w:space="0" w:color="auto"/>
                                  </w:tcBorders>
                                  <w:noWrap/>
                                  <w:vAlign w:val="center"/>
                                  <w:hideMark/>
                                </w:tcPr>
                                <w:p w:rsidR="0009546F" w:rsidRDefault="0009546F">
                                  <w:pPr>
                                    <w:rPr>
                                      <w:b/>
                                    </w:rPr>
                                  </w:pPr>
                                  <w:r>
                                    <w:rPr>
                                      <w:b/>
                                    </w:rPr>
                                    <w:t>THC</w:t>
                                  </w:r>
                                </w:p>
                              </w:tc>
                              <w:tc>
                                <w:tcPr>
                                  <w:tcW w:w="915" w:type="dxa"/>
                                  <w:tcBorders>
                                    <w:top w:val="single" w:sz="8" w:space="0" w:color="auto"/>
                                    <w:left w:val="nil"/>
                                    <w:bottom w:val="single" w:sz="4" w:space="0" w:color="auto"/>
                                    <w:right w:val="single" w:sz="4" w:space="0" w:color="auto"/>
                                  </w:tcBorders>
                                  <w:vAlign w:val="center"/>
                                  <w:hideMark/>
                                </w:tcPr>
                                <w:p w:rsidR="0009546F" w:rsidRDefault="0009546F">
                                  <w:pPr>
                                    <w:rPr>
                                      <w:b/>
                                    </w:rPr>
                                  </w:pPr>
                                  <w:r>
                                    <w:rPr>
                                      <w:b/>
                                    </w:rPr>
                                    <w:t>PM</w:t>
                                  </w:r>
                                </w:p>
                              </w:tc>
                            </w:tr>
                            <w:tr w:rsidR="0009546F" w:rsidTr="00A475FE">
                              <w:trPr>
                                <w:trHeight w:val="255"/>
                              </w:trPr>
                              <w:tc>
                                <w:tcPr>
                                  <w:tcW w:w="1350" w:type="dxa"/>
                                  <w:tcBorders>
                                    <w:top w:val="single" w:sz="4" w:space="0" w:color="auto"/>
                                    <w:left w:val="single" w:sz="4" w:space="0" w:color="auto"/>
                                    <w:bottom w:val="single" w:sz="4" w:space="0" w:color="auto"/>
                                    <w:right w:val="single" w:sz="4" w:space="0" w:color="auto"/>
                                  </w:tcBorders>
                                  <w:noWrap/>
                                  <w:vAlign w:val="center"/>
                                  <w:hideMark/>
                                </w:tcPr>
                                <w:p w:rsidR="0009546F" w:rsidRDefault="0009546F">
                                  <w:pPr>
                                    <w:autoSpaceDE w:val="0"/>
                                    <w:autoSpaceDN w:val="0"/>
                                    <w:adjustRightInd w:val="0"/>
                                    <w:rPr>
                                      <w:rFonts w:eastAsia="Batang"/>
                                      <w:color w:val="000000"/>
                                      <w:lang w:eastAsia="ko-KR"/>
                                    </w:rPr>
                                  </w:pPr>
                                  <w:r>
                                    <w:rPr>
                                      <w:rFonts w:eastAsia="Batang"/>
                                      <w:color w:val="000000"/>
                                      <w:lang w:eastAsia="ko-KR"/>
                                    </w:rPr>
                                    <w:t>John Deere</w:t>
                                  </w:r>
                                </w:p>
                              </w:tc>
                              <w:tc>
                                <w:tcPr>
                                  <w:tcW w:w="1080" w:type="dxa"/>
                                  <w:tcBorders>
                                    <w:top w:val="single" w:sz="4" w:space="0" w:color="auto"/>
                                    <w:left w:val="nil"/>
                                    <w:bottom w:val="single" w:sz="4" w:space="0" w:color="auto"/>
                                    <w:right w:val="single" w:sz="4" w:space="0" w:color="auto"/>
                                  </w:tcBorders>
                                  <w:noWrap/>
                                  <w:vAlign w:val="center"/>
                                  <w:hideMark/>
                                </w:tcPr>
                                <w:p w:rsidR="0009546F" w:rsidRDefault="0009546F">
                                  <w:pPr>
                                    <w:autoSpaceDE w:val="0"/>
                                    <w:autoSpaceDN w:val="0"/>
                                    <w:adjustRightInd w:val="0"/>
                                    <w:rPr>
                                      <w:rFonts w:eastAsia="Batang"/>
                                      <w:color w:val="000000"/>
                                      <w:lang w:eastAsia="ko-KR"/>
                                    </w:rPr>
                                  </w:pPr>
                                  <w:r>
                                    <w:rPr>
                                      <w:rFonts w:eastAsia="Batang"/>
                                      <w:color w:val="000000"/>
                                      <w:lang w:eastAsia="ko-KR"/>
                                    </w:rPr>
                                    <w:t>42%</w:t>
                                  </w:r>
                                </w:p>
                              </w:tc>
                              <w:tc>
                                <w:tcPr>
                                  <w:tcW w:w="1710" w:type="dxa"/>
                                  <w:tcBorders>
                                    <w:top w:val="single" w:sz="4" w:space="0" w:color="auto"/>
                                    <w:left w:val="nil"/>
                                    <w:bottom w:val="single" w:sz="4" w:space="0" w:color="auto"/>
                                    <w:right w:val="single" w:sz="4" w:space="0" w:color="auto"/>
                                  </w:tcBorders>
                                  <w:vAlign w:val="center"/>
                                  <w:hideMark/>
                                </w:tcPr>
                                <w:p w:rsidR="0009546F" w:rsidRDefault="0009546F">
                                  <w:pPr>
                                    <w:rPr>
                                      <w:rFonts w:eastAsia="Calibri"/>
                                    </w:rPr>
                                  </w:pPr>
                                  <w:r>
                                    <w:rPr>
                                      <w:rFonts w:eastAsia="Batang"/>
                                      <w:color w:val="000000"/>
                                      <w:lang w:eastAsia="ko-KR"/>
                                    </w:rPr>
                                    <w:t>0 min</w:t>
                                  </w:r>
                                </w:p>
                              </w:tc>
                              <w:tc>
                                <w:tcPr>
                                  <w:tcW w:w="885" w:type="dxa"/>
                                  <w:tcBorders>
                                    <w:top w:val="single" w:sz="4" w:space="0" w:color="auto"/>
                                    <w:left w:val="single" w:sz="4" w:space="0" w:color="auto"/>
                                    <w:bottom w:val="single" w:sz="4" w:space="0" w:color="auto"/>
                                    <w:right w:val="single" w:sz="4" w:space="0" w:color="auto"/>
                                  </w:tcBorders>
                                  <w:noWrap/>
                                  <w:vAlign w:val="center"/>
                                  <w:hideMark/>
                                </w:tcPr>
                                <w:p w:rsidR="0009546F" w:rsidRDefault="0009546F">
                                  <w:r>
                                    <w:t>4,394</w:t>
                                  </w:r>
                                </w:p>
                              </w:tc>
                              <w:tc>
                                <w:tcPr>
                                  <w:tcW w:w="915" w:type="dxa"/>
                                  <w:tcBorders>
                                    <w:top w:val="single" w:sz="4" w:space="0" w:color="auto"/>
                                    <w:left w:val="nil"/>
                                    <w:bottom w:val="single" w:sz="4" w:space="0" w:color="auto"/>
                                    <w:right w:val="single" w:sz="4" w:space="0" w:color="auto"/>
                                  </w:tcBorders>
                                  <w:vAlign w:val="center"/>
                                  <w:hideMark/>
                                </w:tcPr>
                                <w:p w:rsidR="0009546F" w:rsidRDefault="0009546F">
                                  <w:r>
                                    <w:t>253</w:t>
                                  </w:r>
                                </w:p>
                              </w:tc>
                            </w:tr>
                            <w:tr w:rsidR="0009546F" w:rsidTr="00A475FE">
                              <w:trPr>
                                <w:trHeight w:val="255"/>
                              </w:trPr>
                              <w:tc>
                                <w:tcPr>
                                  <w:tcW w:w="1350" w:type="dxa"/>
                                  <w:tcBorders>
                                    <w:top w:val="single" w:sz="4" w:space="0" w:color="auto"/>
                                    <w:left w:val="single" w:sz="4" w:space="0" w:color="auto"/>
                                    <w:bottom w:val="single" w:sz="4" w:space="0" w:color="auto"/>
                                    <w:right w:val="single" w:sz="4" w:space="0" w:color="auto"/>
                                  </w:tcBorders>
                                  <w:noWrap/>
                                  <w:vAlign w:val="center"/>
                                </w:tcPr>
                                <w:p w:rsidR="0009546F" w:rsidRDefault="0009546F">
                                  <w:pPr>
                                    <w:autoSpaceDE w:val="0"/>
                                    <w:autoSpaceDN w:val="0"/>
                                    <w:adjustRightInd w:val="0"/>
                                    <w:rPr>
                                      <w:rFonts w:eastAsia="Batang"/>
                                      <w:color w:val="000000"/>
                                      <w:lang w:eastAsia="ko-KR"/>
                                    </w:rPr>
                                  </w:pPr>
                                </w:p>
                              </w:tc>
                              <w:tc>
                                <w:tcPr>
                                  <w:tcW w:w="1080" w:type="dxa"/>
                                  <w:tcBorders>
                                    <w:top w:val="single" w:sz="4" w:space="0" w:color="auto"/>
                                    <w:left w:val="nil"/>
                                    <w:bottom w:val="single" w:sz="4" w:space="0" w:color="auto"/>
                                    <w:right w:val="single" w:sz="4" w:space="0" w:color="auto"/>
                                  </w:tcBorders>
                                  <w:noWrap/>
                                  <w:vAlign w:val="center"/>
                                </w:tcPr>
                                <w:p w:rsidR="0009546F" w:rsidRDefault="0009546F">
                                  <w:pPr>
                                    <w:autoSpaceDE w:val="0"/>
                                    <w:autoSpaceDN w:val="0"/>
                                    <w:adjustRightInd w:val="0"/>
                                    <w:rPr>
                                      <w:rFonts w:eastAsia="Batang"/>
                                      <w:color w:val="000000"/>
                                      <w:lang w:eastAsia="ko-KR"/>
                                    </w:rPr>
                                  </w:pPr>
                                </w:p>
                              </w:tc>
                              <w:tc>
                                <w:tcPr>
                                  <w:tcW w:w="1710" w:type="dxa"/>
                                  <w:tcBorders>
                                    <w:top w:val="single" w:sz="4" w:space="0" w:color="auto"/>
                                    <w:left w:val="nil"/>
                                    <w:bottom w:val="single" w:sz="4" w:space="0" w:color="auto"/>
                                    <w:right w:val="single" w:sz="4" w:space="0" w:color="auto"/>
                                  </w:tcBorders>
                                  <w:vAlign w:val="center"/>
                                  <w:hideMark/>
                                </w:tcPr>
                                <w:p w:rsidR="0009546F" w:rsidRDefault="0009546F">
                                  <w:pPr>
                                    <w:rPr>
                                      <w:rFonts w:eastAsia="Calibri"/>
                                    </w:rPr>
                                  </w:pPr>
                                  <w:r>
                                    <w:rPr>
                                      <w:rFonts w:eastAsia="Batang"/>
                                      <w:color w:val="000000"/>
                                      <w:lang w:eastAsia="ko-KR"/>
                                    </w:rPr>
                                    <w:t>3 min</w:t>
                                  </w:r>
                                </w:p>
                              </w:tc>
                              <w:tc>
                                <w:tcPr>
                                  <w:tcW w:w="885" w:type="dxa"/>
                                  <w:tcBorders>
                                    <w:top w:val="single" w:sz="4" w:space="0" w:color="auto"/>
                                    <w:left w:val="single" w:sz="4" w:space="0" w:color="auto"/>
                                    <w:bottom w:val="single" w:sz="4" w:space="0" w:color="auto"/>
                                    <w:right w:val="single" w:sz="4" w:space="0" w:color="auto"/>
                                  </w:tcBorders>
                                  <w:noWrap/>
                                  <w:vAlign w:val="center"/>
                                  <w:hideMark/>
                                </w:tcPr>
                                <w:p w:rsidR="0009546F" w:rsidRDefault="0009546F">
                                  <w:r>
                                    <w:t>3,845</w:t>
                                  </w:r>
                                </w:p>
                              </w:tc>
                              <w:tc>
                                <w:tcPr>
                                  <w:tcW w:w="915" w:type="dxa"/>
                                  <w:tcBorders>
                                    <w:top w:val="single" w:sz="4" w:space="0" w:color="auto"/>
                                    <w:left w:val="nil"/>
                                    <w:bottom w:val="single" w:sz="4" w:space="0" w:color="auto"/>
                                    <w:right w:val="single" w:sz="4" w:space="0" w:color="auto"/>
                                  </w:tcBorders>
                                  <w:vAlign w:val="center"/>
                                  <w:hideMark/>
                                </w:tcPr>
                                <w:p w:rsidR="0009546F" w:rsidRDefault="0009546F">
                                  <w:r>
                                    <w:t>221</w:t>
                                  </w:r>
                                </w:p>
                              </w:tc>
                            </w:tr>
                            <w:tr w:rsidR="0009546F" w:rsidTr="00A475FE">
                              <w:trPr>
                                <w:trHeight w:val="255"/>
                              </w:trPr>
                              <w:tc>
                                <w:tcPr>
                                  <w:tcW w:w="1350" w:type="dxa"/>
                                  <w:tcBorders>
                                    <w:top w:val="single" w:sz="4" w:space="0" w:color="auto"/>
                                    <w:left w:val="single" w:sz="4" w:space="0" w:color="auto"/>
                                    <w:bottom w:val="single" w:sz="4" w:space="0" w:color="auto"/>
                                    <w:right w:val="single" w:sz="4" w:space="0" w:color="auto"/>
                                  </w:tcBorders>
                                  <w:noWrap/>
                                  <w:vAlign w:val="center"/>
                                </w:tcPr>
                                <w:p w:rsidR="0009546F" w:rsidRDefault="0009546F">
                                  <w:pPr>
                                    <w:autoSpaceDE w:val="0"/>
                                    <w:autoSpaceDN w:val="0"/>
                                    <w:adjustRightInd w:val="0"/>
                                    <w:rPr>
                                      <w:rFonts w:eastAsia="Batang"/>
                                      <w:color w:val="000000"/>
                                      <w:lang w:eastAsia="ko-KR"/>
                                    </w:rPr>
                                  </w:pPr>
                                </w:p>
                              </w:tc>
                              <w:tc>
                                <w:tcPr>
                                  <w:tcW w:w="1080" w:type="dxa"/>
                                  <w:tcBorders>
                                    <w:top w:val="single" w:sz="4" w:space="0" w:color="auto"/>
                                    <w:left w:val="nil"/>
                                    <w:bottom w:val="single" w:sz="4" w:space="0" w:color="auto"/>
                                    <w:right w:val="single" w:sz="4" w:space="0" w:color="auto"/>
                                  </w:tcBorders>
                                  <w:noWrap/>
                                  <w:vAlign w:val="center"/>
                                </w:tcPr>
                                <w:p w:rsidR="0009546F" w:rsidRDefault="0009546F">
                                  <w:pPr>
                                    <w:autoSpaceDE w:val="0"/>
                                    <w:autoSpaceDN w:val="0"/>
                                    <w:adjustRightInd w:val="0"/>
                                    <w:rPr>
                                      <w:rFonts w:eastAsia="Batang"/>
                                      <w:color w:val="000000"/>
                                      <w:lang w:eastAsia="ko-KR"/>
                                    </w:rPr>
                                  </w:pPr>
                                </w:p>
                              </w:tc>
                              <w:tc>
                                <w:tcPr>
                                  <w:tcW w:w="1710" w:type="dxa"/>
                                  <w:tcBorders>
                                    <w:top w:val="single" w:sz="4" w:space="0" w:color="auto"/>
                                    <w:left w:val="nil"/>
                                    <w:bottom w:val="single" w:sz="4" w:space="0" w:color="auto"/>
                                    <w:right w:val="single" w:sz="4" w:space="0" w:color="auto"/>
                                  </w:tcBorders>
                                  <w:vAlign w:val="center"/>
                                  <w:hideMark/>
                                </w:tcPr>
                                <w:p w:rsidR="0009546F" w:rsidRDefault="0009546F">
                                  <w:pPr>
                                    <w:rPr>
                                      <w:rFonts w:eastAsia="Calibri"/>
                                    </w:rPr>
                                  </w:pPr>
                                  <w:r>
                                    <w:rPr>
                                      <w:rFonts w:eastAsia="Batang"/>
                                      <w:color w:val="000000"/>
                                      <w:lang w:eastAsia="ko-KR"/>
                                    </w:rPr>
                                    <w:t>5 min</w:t>
                                  </w:r>
                                </w:p>
                              </w:tc>
                              <w:tc>
                                <w:tcPr>
                                  <w:tcW w:w="885" w:type="dxa"/>
                                  <w:tcBorders>
                                    <w:top w:val="single" w:sz="4" w:space="0" w:color="auto"/>
                                    <w:left w:val="single" w:sz="4" w:space="0" w:color="auto"/>
                                    <w:bottom w:val="single" w:sz="4" w:space="0" w:color="auto"/>
                                    <w:right w:val="single" w:sz="4" w:space="0" w:color="auto"/>
                                  </w:tcBorders>
                                  <w:noWrap/>
                                  <w:vAlign w:val="center"/>
                                  <w:hideMark/>
                                </w:tcPr>
                                <w:p w:rsidR="0009546F" w:rsidRDefault="0009546F">
                                  <w:r>
                                    <w:t>3,515</w:t>
                                  </w:r>
                                </w:p>
                              </w:tc>
                              <w:tc>
                                <w:tcPr>
                                  <w:tcW w:w="915" w:type="dxa"/>
                                  <w:tcBorders>
                                    <w:top w:val="single" w:sz="4" w:space="0" w:color="auto"/>
                                    <w:left w:val="nil"/>
                                    <w:bottom w:val="single" w:sz="4" w:space="0" w:color="auto"/>
                                    <w:right w:val="single" w:sz="4" w:space="0" w:color="auto"/>
                                  </w:tcBorders>
                                  <w:vAlign w:val="center"/>
                                  <w:hideMark/>
                                </w:tcPr>
                                <w:p w:rsidR="0009546F" w:rsidRDefault="0009546F">
                                  <w:r>
                                    <w:t>202</w:t>
                                  </w:r>
                                </w:p>
                              </w:tc>
                            </w:tr>
                            <w:tr w:rsidR="0009546F" w:rsidTr="00A475FE">
                              <w:trPr>
                                <w:trHeight w:val="255"/>
                              </w:trPr>
                              <w:tc>
                                <w:tcPr>
                                  <w:tcW w:w="1350" w:type="dxa"/>
                                  <w:tcBorders>
                                    <w:top w:val="single" w:sz="4" w:space="0" w:color="auto"/>
                                    <w:left w:val="single" w:sz="4" w:space="0" w:color="auto"/>
                                    <w:bottom w:val="single" w:sz="4" w:space="0" w:color="auto"/>
                                    <w:right w:val="single" w:sz="4" w:space="0" w:color="auto"/>
                                  </w:tcBorders>
                                  <w:noWrap/>
                                  <w:vAlign w:val="center"/>
                                  <w:hideMark/>
                                </w:tcPr>
                                <w:p w:rsidR="0009546F" w:rsidRDefault="0009546F">
                                  <w:pPr>
                                    <w:autoSpaceDE w:val="0"/>
                                    <w:autoSpaceDN w:val="0"/>
                                    <w:adjustRightInd w:val="0"/>
                                    <w:rPr>
                                      <w:rFonts w:eastAsia="Batang"/>
                                      <w:color w:val="000000"/>
                                      <w:lang w:eastAsia="ko-KR"/>
                                    </w:rPr>
                                  </w:pPr>
                                  <w:r>
                                    <w:rPr>
                                      <w:rFonts w:eastAsia="Batang"/>
                                      <w:color w:val="000000"/>
                                      <w:lang w:eastAsia="ko-KR"/>
                                    </w:rPr>
                                    <w:t>CARB</w:t>
                                  </w:r>
                                </w:p>
                              </w:tc>
                              <w:tc>
                                <w:tcPr>
                                  <w:tcW w:w="1080" w:type="dxa"/>
                                  <w:tcBorders>
                                    <w:top w:val="single" w:sz="4" w:space="0" w:color="auto"/>
                                    <w:left w:val="nil"/>
                                    <w:bottom w:val="single" w:sz="4" w:space="0" w:color="auto"/>
                                    <w:right w:val="single" w:sz="4" w:space="0" w:color="auto"/>
                                  </w:tcBorders>
                                  <w:noWrap/>
                                  <w:vAlign w:val="center"/>
                                  <w:hideMark/>
                                </w:tcPr>
                                <w:p w:rsidR="0009546F" w:rsidRDefault="0009546F">
                                  <w:pPr>
                                    <w:autoSpaceDE w:val="0"/>
                                    <w:autoSpaceDN w:val="0"/>
                                    <w:adjustRightInd w:val="0"/>
                                    <w:rPr>
                                      <w:rFonts w:eastAsia="Batang"/>
                                      <w:color w:val="000000"/>
                                      <w:lang w:eastAsia="ko-KR"/>
                                    </w:rPr>
                                  </w:pPr>
                                  <w:r>
                                    <w:rPr>
                                      <w:rFonts w:eastAsia="Batang"/>
                                      <w:color w:val="000000"/>
                                      <w:lang w:eastAsia="ko-KR"/>
                                    </w:rPr>
                                    <w:t>7.2%</w:t>
                                  </w:r>
                                </w:p>
                              </w:tc>
                              <w:tc>
                                <w:tcPr>
                                  <w:tcW w:w="1710" w:type="dxa"/>
                                  <w:tcBorders>
                                    <w:top w:val="single" w:sz="4" w:space="0" w:color="auto"/>
                                    <w:left w:val="nil"/>
                                    <w:bottom w:val="single" w:sz="4" w:space="0" w:color="auto"/>
                                    <w:right w:val="single" w:sz="4" w:space="0" w:color="auto"/>
                                  </w:tcBorders>
                                  <w:vAlign w:val="center"/>
                                  <w:hideMark/>
                                </w:tcPr>
                                <w:p w:rsidR="0009546F" w:rsidRDefault="0009546F">
                                  <w:pPr>
                                    <w:rPr>
                                      <w:rFonts w:eastAsia="Calibri"/>
                                    </w:rPr>
                                  </w:pPr>
                                  <w:r>
                                    <w:rPr>
                                      <w:rFonts w:eastAsia="Batang"/>
                                      <w:color w:val="000000"/>
                                      <w:lang w:eastAsia="ko-KR"/>
                                    </w:rPr>
                                    <w:t>n/a</w:t>
                                  </w:r>
                                </w:p>
                              </w:tc>
                              <w:tc>
                                <w:tcPr>
                                  <w:tcW w:w="885" w:type="dxa"/>
                                  <w:tcBorders>
                                    <w:top w:val="single" w:sz="4" w:space="0" w:color="auto"/>
                                    <w:left w:val="single" w:sz="4" w:space="0" w:color="auto"/>
                                    <w:bottom w:val="single" w:sz="4" w:space="0" w:color="auto"/>
                                    <w:right w:val="single" w:sz="4" w:space="0" w:color="auto"/>
                                  </w:tcBorders>
                                  <w:noWrap/>
                                  <w:vAlign w:val="center"/>
                                  <w:hideMark/>
                                </w:tcPr>
                                <w:p w:rsidR="0009546F" w:rsidRDefault="0009546F">
                                  <w:r>
                                    <w:t>769</w:t>
                                  </w:r>
                                </w:p>
                              </w:tc>
                              <w:tc>
                                <w:tcPr>
                                  <w:tcW w:w="915" w:type="dxa"/>
                                  <w:tcBorders>
                                    <w:top w:val="single" w:sz="4" w:space="0" w:color="auto"/>
                                    <w:left w:val="nil"/>
                                    <w:bottom w:val="single" w:sz="4" w:space="0" w:color="auto"/>
                                    <w:right w:val="single" w:sz="4" w:space="0" w:color="auto"/>
                                  </w:tcBorders>
                                  <w:vAlign w:val="center"/>
                                  <w:hideMark/>
                                </w:tcPr>
                                <w:p w:rsidR="0009546F" w:rsidRDefault="0009546F">
                                  <w:r>
                                    <w:t>44</w:t>
                                  </w:r>
                                </w:p>
                              </w:tc>
                            </w:tr>
                            <w:tr w:rsidR="0009546F" w:rsidTr="00A475FE">
                              <w:trPr>
                                <w:trHeight w:val="255"/>
                              </w:trPr>
                              <w:tc>
                                <w:tcPr>
                                  <w:tcW w:w="4140" w:type="dxa"/>
                                  <w:gridSpan w:val="3"/>
                                  <w:tcBorders>
                                    <w:top w:val="single" w:sz="4" w:space="0" w:color="auto"/>
                                    <w:left w:val="single" w:sz="4" w:space="0" w:color="auto"/>
                                    <w:bottom w:val="single" w:sz="4" w:space="0" w:color="auto"/>
                                    <w:right w:val="single" w:sz="4" w:space="0" w:color="auto"/>
                                  </w:tcBorders>
                                  <w:noWrap/>
                                  <w:vAlign w:val="center"/>
                                  <w:hideMark/>
                                </w:tcPr>
                                <w:p w:rsidR="0009546F" w:rsidRDefault="0009546F">
                                  <w:r>
                                    <w:rPr>
                                      <w:rFonts w:eastAsia="Batang"/>
                                      <w:color w:val="000000"/>
                                      <w:lang w:eastAsia="ko-KR"/>
                                    </w:rPr>
                                    <w:t>Total Emissions from Sector</w:t>
                                  </w:r>
                                </w:p>
                              </w:tc>
                              <w:tc>
                                <w:tcPr>
                                  <w:tcW w:w="885" w:type="dxa"/>
                                  <w:tcBorders>
                                    <w:top w:val="single" w:sz="4" w:space="0" w:color="auto"/>
                                    <w:left w:val="single" w:sz="4" w:space="0" w:color="auto"/>
                                    <w:bottom w:val="single" w:sz="4" w:space="0" w:color="auto"/>
                                    <w:right w:val="single" w:sz="4" w:space="0" w:color="auto"/>
                                  </w:tcBorders>
                                  <w:noWrap/>
                                  <w:vAlign w:val="center"/>
                                  <w:hideMark/>
                                </w:tcPr>
                                <w:p w:rsidR="0009546F" w:rsidRDefault="0009546F">
                                  <w:r>
                                    <w:t>18,464</w:t>
                                  </w:r>
                                </w:p>
                              </w:tc>
                              <w:tc>
                                <w:tcPr>
                                  <w:tcW w:w="915" w:type="dxa"/>
                                  <w:tcBorders>
                                    <w:top w:val="single" w:sz="4" w:space="0" w:color="auto"/>
                                    <w:left w:val="nil"/>
                                    <w:bottom w:val="single" w:sz="4" w:space="0" w:color="auto"/>
                                    <w:right w:val="single" w:sz="4" w:space="0" w:color="auto"/>
                                  </w:tcBorders>
                                  <w:vAlign w:val="center"/>
                                  <w:hideMark/>
                                </w:tcPr>
                                <w:p w:rsidR="0009546F" w:rsidRDefault="0009546F">
                                  <w:r>
                                    <w:t>16,711</w:t>
                                  </w:r>
                                </w:p>
                              </w:tc>
                            </w:tr>
                          </w:tbl>
                          <w:p w:rsidR="0009546F" w:rsidRDefault="0009546F" w:rsidP="009B2F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44618A" id="Text Box 4" o:spid="_x0000_s1076" type="#_x0000_t202" style="position:absolute;left:0;text-align:left;margin-left:141pt;margin-top:2.85pt;width:318.85pt;height:20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L7HhQIAABcFAAAOAAAAZHJzL2Uyb0RvYy54bWysVFtv2yAUfp+0/4B4T30pSWMrTtXLMk3q&#10;LlK7H0AAx2g2MCCxu2r/fQecpOku0jTND5jDOXzn9h0Wl0PXop2wTmpV4ewsxUgoprlUmwp/flhN&#10;5hg5TxWnrVaiwo/C4cvl61eL3pQi141uubAIQJQre1PhxntTJoljjeioO9NGKFDW2nbUg2g3Cbe0&#10;B/SuTfI0nSW9ttxYzYRzcHo7KvEy4te1YP5jXTvhUVthiM3H1cZ1HdZkuaDlxlLTSLYPg/5DFB2V&#10;CpweoW6pp2hr5S9QnWRWO137M6a7RNe1ZCLmANlk6U/Z3DfUiJgLFMeZY5nc/4NlH3afLJK8wgQj&#10;RTto0YMYPLrWAyKhOr1xJRjdGzDzAxxDl2Omztxp9sUhpW8aqjbiylrdN4JyiC4LN5OTqyOOCyDr&#10;/r3m4IZuvY5AQ227UDooBgJ06NLjsTMhFAaHJCXFeTHFiIEun6XpeT6NPmh5uG6s82+F7lDYVNhC&#10;6yM83d05H8Kh5cEkeHO6lXwl2zYKdrO+aS3aUaDJKn579BdmrQrGSodrI+J4AlGCj6AL8ca2PxVZ&#10;TtLrvJisZvOLCVmR6aS4SOeTNCuuixmkQ25X30OAGSkbyblQd1KJAwUz8nct3g/DSJ5IQtRXuJhC&#10;dWJef0wyjd/vkuykh4lsZVfh+dGIlqGzbxSHtGnpqWzHffIy/FhlqMHhH6sSeRBaP5LAD+shEu48&#10;eA8cWWv+CMSwGtoG3YfXBDaNtt8w6mEyK+y+bqkVGLXvFJCryAgJoxwFMr3IQbCnmvWphioGUBX2&#10;GI3bGz+O/9ZYuWnA00hnpa+AkLWMVHmOak9jmL6Y0/6lCON9Kker5/ds+QMAAP//AwBQSwMEFAAG&#10;AAgAAAAhAPTGR/zeAAAACQEAAA8AAABkcnMvZG93bnJldi54bWxMj81ugzAQhO+V+g7WVuqlagwo&#10;hEAxUVupVa/5eYAFbwAV2wg7gbx9t6f2NqtZzXxT7hYziCtNvndWQbyKQJBtnO5tq+B0/HjegvAB&#10;rcbBWVJwIw+76v6uxEK72e7pegit4BDrC1TQhTAWUvqmI4N+5Uay7J3dZDDwObVSTzhzuBlkEkUb&#10;abC33NDhSO8dNd+Hi1Fw/pqf0nyuP8Mp2683b9hntbsp9fiwvL6ACLSEv2f4xWd0qJipdhervRgU&#10;JNuEtwQFaQaC/TzOWdQK1nGagKxK+X9B9QMAAP//AwBQSwECLQAUAAYACAAAACEAtoM4kv4AAADh&#10;AQAAEwAAAAAAAAAAAAAAAAAAAAAAW0NvbnRlbnRfVHlwZXNdLnhtbFBLAQItABQABgAIAAAAIQA4&#10;/SH/1gAAAJQBAAALAAAAAAAAAAAAAAAAAC8BAABfcmVscy8ucmVsc1BLAQItABQABgAIAAAAIQBH&#10;LL7HhQIAABcFAAAOAAAAAAAAAAAAAAAAAC4CAABkcnMvZTJvRG9jLnhtbFBLAQItABQABgAIAAAA&#10;IQD0xkf83gAAAAkBAAAPAAAAAAAAAAAAAAAAAN8EAABkcnMvZG93bnJldi54bWxQSwUGAAAAAAQA&#10;BADzAAAA6gUAAAAA&#10;" stroked="f">
                <v:textbox>
                  <w:txbxContent>
                    <w:p w:rsidR="0009546F" w:rsidRPr="007C0785" w:rsidRDefault="0009546F" w:rsidP="007C0785">
                      <w:pPr>
                        <w:pStyle w:val="Caption"/>
                        <w:keepNext/>
                        <w:spacing w:after="120"/>
                        <w:rPr>
                          <w:rFonts w:asciiTheme="minorHAnsi" w:hAnsiTheme="minorHAnsi"/>
                          <w:sz w:val="22"/>
                          <w:szCs w:val="22"/>
                        </w:rPr>
                      </w:pPr>
                      <w:bookmarkStart w:id="398" w:name="_Toc461106823"/>
                      <w:r w:rsidRPr="007C0785">
                        <w:rPr>
                          <w:rFonts w:asciiTheme="minorHAnsi" w:hAnsiTheme="minorHAnsi"/>
                          <w:sz w:val="22"/>
                          <w:szCs w:val="22"/>
                        </w:rPr>
                        <w:t>Table 3-17</w:t>
                      </w:r>
                      <w:r>
                        <w:rPr>
                          <w:rFonts w:asciiTheme="minorHAnsi" w:hAnsiTheme="minorHAnsi"/>
                          <w:sz w:val="22"/>
                          <w:szCs w:val="22"/>
                        </w:rPr>
                        <w:tab/>
                      </w:r>
                      <w:r w:rsidRPr="007C0785">
                        <w:rPr>
                          <w:rFonts w:asciiTheme="minorHAnsi" w:hAnsiTheme="minorHAnsi"/>
                          <w:sz w:val="22"/>
                          <w:szCs w:val="22"/>
                        </w:rPr>
                        <w:t>Emissions from Avoidable Nonroad Idling, OTC States 2009 (tpy)</w:t>
                      </w:r>
                      <w:bookmarkEnd w:id="398"/>
                    </w:p>
                    <w:tbl>
                      <w:tblPr>
                        <w:tblW w:w="5940" w:type="dxa"/>
                        <w:tblInd w:w="-95" w:type="dxa"/>
                        <w:tblLook w:val="04A0" w:firstRow="1" w:lastRow="0" w:firstColumn="1" w:lastColumn="0" w:noHBand="0" w:noVBand="1"/>
                      </w:tblPr>
                      <w:tblGrid>
                        <w:gridCol w:w="1350"/>
                        <w:gridCol w:w="1080"/>
                        <w:gridCol w:w="1710"/>
                        <w:gridCol w:w="885"/>
                        <w:gridCol w:w="915"/>
                      </w:tblGrid>
                      <w:tr w:rsidR="0009546F" w:rsidTr="00A475FE">
                        <w:trPr>
                          <w:trHeight w:val="343"/>
                        </w:trPr>
                        <w:tc>
                          <w:tcPr>
                            <w:tcW w:w="1350" w:type="dxa"/>
                            <w:tcBorders>
                              <w:top w:val="single" w:sz="8" w:space="0" w:color="auto"/>
                              <w:left w:val="single" w:sz="4" w:space="0" w:color="auto"/>
                              <w:bottom w:val="single" w:sz="4" w:space="0" w:color="auto"/>
                              <w:right w:val="single" w:sz="4" w:space="0" w:color="auto"/>
                            </w:tcBorders>
                            <w:noWrap/>
                            <w:vAlign w:val="center"/>
                          </w:tcPr>
                          <w:p w:rsidR="0009546F" w:rsidRDefault="0009546F">
                            <w:pPr>
                              <w:autoSpaceDE w:val="0"/>
                              <w:autoSpaceDN w:val="0"/>
                              <w:adjustRightInd w:val="0"/>
                              <w:rPr>
                                <w:rFonts w:eastAsia="Batang"/>
                                <w:b/>
                                <w:bCs/>
                                <w:color w:val="000000"/>
                                <w:lang w:eastAsia="ko-KR"/>
                              </w:rPr>
                            </w:pPr>
                          </w:p>
                        </w:tc>
                        <w:tc>
                          <w:tcPr>
                            <w:tcW w:w="1080" w:type="dxa"/>
                            <w:tcBorders>
                              <w:top w:val="single" w:sz="8" w:space="0" w:color="auto"/>
                              <w:left w:val="nil"/>
                              <w:bottom w:val="single" w:sz="4" w:space="0" w:color="auto"/>
                              <w:right w:val="single" w:sz="4" w:space="0" w:color="auto"/>
                            </w:tcBorders>
                            <w:vAlign w:val="center"/>
                            <w:hideMark/>
                          </w:tcPr>
                          <w:p w:rsidR="0009546F" w:rsidRDefault="0009546F">
                            <w:pPr>
                              <w:autoSpaceDE w:val="0"/>
                              <w:autoSpaceDN w:val="0"/>
                              <w:adjustRightInd w:val="0"/>
                              <w:rPr>
                                <w:rFonts w:eastAsia="Batang"/>
                                <w:b/>
                                <w:bCs/>
                                <w:color w:val="000000"/>
                                <w:lang w:eastAsia="ko-KR"/>
                              </w:rPr>
                            </w:pPr>
                            <w:r>
                              <w:rPr>
                                <w:rFonts w:eastAsia="Batang"/>
                                <w:b/>
                                <w:bCs/>
                                <w:color w:val="000000"/>
                                <w:lang w:eastAsia="ko-KR"/>
                              </w:rPr>
                              <w:t>Idling Rate</w:t>
                            </w:r>
                          </w:p>
                        </w:tc>
                        <w:tc>
                          <w:tcPr>
                            <w:tcW w:w="1710" w:type="dxa"/>
                            <w:tcBorders>
                              <w:top w:val="single" w:sz="8" w:space="0" w:color="auto"/>
                              <w:left w:val="nil"/>
                              <w:bottom w:val="single" w:sz="4" w:space="0" w:color="auto"/>
                              <w:right w:val="single" w:sz="4" w:space="0" w:color="auto"/>
                            </w:tcBorders>
                            <w:vAlign w:val="center"/>
                            <w:hideMark/>
                          </w:tcPr>
                          <w:p w:rsidR="0009546F" w:rsidRDefault="0009546F">
                            <w:pPr>
                              <w:rPr>
                                <w:rFonts w:eastAsia="Calibri"/>
                                <w:b/>
                              </w:rPr>
                            </w:pPr>
                            <w:r>
                              <w:rPr>
                                <w:b/>
                              </w:rPr>
                              <w:t>Necessary Idling Per Hour</w:t>
                            </w:r>
                          </w:p>
                        </w:tc>
                        <w:tc>
                          <w:tcPr>
                            <w:tcW w:w="885" w:type="dxa"/>
                            <w:tcBorders>
                              <w:top w:val="single" w:sz="8" w:space="0" w:color="auto"/>
                              <w:left w:val="single" w:sz="4" w:space="0" w:color="auto"/>
                              <w:bottom w:val="single" w:sz="4" w:space="0" w:color="auto"/>
                              <w:right w:val="single" w:sz="4" w:space="0" w:color="auto"/>
                            </w:tcBorders>
                            <w:noWrap/>
                            <w:vAlign w:val="center"/>
                            <w:hideMark/>
                          </w:tcPr>
                          <w:p w:rsidR="0009546F" w:rsidRDefault="0009546F">
                            <w:pPr>
                              <w:rPr>
                                <w:b/>
                              </w:rPr>
                            </w:pPr>
                            <w:r>
                              <w:rPr>
                                <w:b/>
                              </w:rPr>
                              <w:t>THC</w:t>
                            </w:r>
                          </w:p>
                        </w:tc>
                        <w:tc>
                          <w:tcPr>
                            <w:tcW w:w="915" w:type="dxa"/>
                            <w:tcBorders>
                              <w:top w:val="single" w:sz="8" w:space="0" w:color="auto"/>
                              <w:left w:val="nil"/>
                              <w:bottom w:val="single" w:sz="4" w:space="0" w:color="auto"/>
                              <w:right w:val="single" w:sz="4" w:space="0" w:color="auto"/>
                            </w:tcBorders>
                            <w:vAlign w:val="center"/>
                            <w:hideMark/>
                          </w:tcPr>
                          <w:p w:rsidR="0009546F" w:rsidRDefault="0009546F">
                            <w:pPr>
                              <w:rPr>
                                <w:b/>
                              </w:rPr>
                            </w:pPr>
                            <w:r>
                              <w:rPr>
                                <w:b/>
                              </w:rPr>
                              <w:t>PM</w:t>
                            </w:r>
                          </w:p>
                        </w:tc>
                      </w:tr>
                      <w:tr w:rsidR="0009546F" w:rsidTr="00A475FE">
                        <w:trPr>
                          <w:trHeight w:val="255"/>
                        </w:trPr>
                        <w:tc>
                          <w:tcPr>
                            <w:tcW w:w="1350" w:type="dxa"/>
                            <w:tcBorders>
                              <w:top w:val="single" w:sz="4" w:space="0" w:color="auto"/>
                              <w:left w:val="single" w:sz="4" w:space="0" w:color="auto"/>
                              <w:bottom w:val="single" w:sz="4" w:space="0" w:color="auto"/>
                              <w:right w:val="single" w:sz="4" w:space="0" w:color="auto"/>
                            </w:tcBorders>
                            <w:noWrap/>
                            <w:vAlign w:val="center"/>
                            <w:hideMark/>
                          </w:tcPr>
                          <w:p w:rsidR="0009546F" w:rsidRDefault="0009546F">
                            <w:pPr>
                              <w:autoSpaceDE w:val="0"/>
                              <w:autoSpaceDN w:val="0"/>
                              <w:adjustRightInd w:val="0"/>
                              <w:rPr>
                                <w:rFonts w:eastAsia="Batang"/>
                                <w:color w:val="000000"/>
                                <w:lang w:eastAsia="ko-KR"/>
                              </w:rPr>
                            </w:pPr>
                            <w:r>
                              <w:rPr>
                                <w:rFonts w:eastAsia="Batang"/>
                                <w:color w:val="000000"/>
                                <w:lang w:eastAsia="ko-KR"/>
                              </w:rPr>
                              <w:t>John Deere</w:t>
                            </w:r>
                          </w:p>
                        </w:tc>
                        <w:tc>
                          <w:tcPr>
                            <w:tcW w:w="1080" w:type="dxa"/>
                            <w:tcBorders>
                              <w:top w:val="single" w:sz="4" w:space="0" w:color="auto"/>
                              <w:left w:val="nil"/>
                              <w:bottom w:val="single" w:sz="4" w:space="0" w:color="auto"/>
                              <w:right w:val="single" w:sz="4" w:space="0" w:color="auto"/>
                            </w:tcBorders>
                            <w:noWrap/>
                            <w:vAlign w:val="center"/>
                            <w:hideMark/>
                          </w:tcPr>
                          <w:p w:rsidR="0009546F" w:rsidRDefault="0009546F">
                            <w:pPr>
                              <w:autoSpaceDE w:val="0"/>
                              <w:autoSpaceDN w:val="0"/>
                              <w:adjustRightInd w:val="0"/>
                              <w:rPr>
                                <w:rFonts w:eastAsia="Batang"/>
                                <w:color w:val="000000"/>
                                <w:lang w:eastAsia="ko-KR"/>
                              </w:rPr>
                            </w:pPr>
                            <w:r>
                              <w:rPr>
                                <w:rFonts w:eastAsia="Batang"/>
                                <w:color w:val="000000"/>
                                <w:lang w:eastAsia="ko-KR"/>
                              </w:rPr>
                              <w:t>42%</w:t>
                            </w:r>
                          </w:p>
                        </w:tc>
                        <w:tc>
                          <w:tcPr>
                            <w:tcW w:w="1710" w:type="dxa"/>
                            <w:tcBorders>
                              <w:top w:val="single" w:sz="4" w:space="0" w:color="auto"/>
                              <w:left w:val="nil"/>
                              <w:bottom w:val="single" w:sz="4" w:space="0" w:color="auto"/>
                              <w:right w:val="single" w:sz="4" w:space="0" w:color="auto"/>
                            </w:tcBorders>
                            <w:vAlign w:val="center"/>
                            <w:hideMark/>
                          </w:tcPr>
                          <w:p w:rsidR="0009546F" w:rsidRDefault="0009546F">
                            <w:pPr>
                              <w:rPr>
                                <w:rFonts w:eastAsia="Calibri"/>
                              </w:rPr>
                            </w:pPr>
                            <w:r>
                              <w:rPr>
                                <w:rFonts w:eastAsia="Batang"/>
                                <w:color w:val="000000"/>
                                <w:lang w:eastAsia="ko-KR"/>
                              </w:rPr>
                              <w:t>0 min</w:t>
                            </w:r>
                          </w:p>
                        </w:tc>
                        <w:tc>
                          <w:tcPr>
                            <w:tcW w:w="885" w:type="dxa"/>
                            <w:tcBorders>
                              <w:top w:val="single" w:sz="4" w:space="0" w:color="auto"/>
                              <w:left w:val="single" w:sz="4" w:space="0" w:color="auto"/>
                              <w:bottom w:val="single" w:sz="4" w:space="0" w:color="auto"/>
                              <w:right w:val="single" w:sz="4" w:space="0" w:color="auto"/>
                            </w:tcBorders>
                            <w:noWrap/>
                            <w:vAlign w:val="center"/>
                            <w:hideMark/>
                          </w:tcPr>
                          <w:p w:rsidR="0009546F" w:rsidRDefault="0009546F">
                            <w:r>
                              <w:t>4,394</w:t>
                            </w:r>
                          </w:p>
                        </w:tc>
                        <w:tc>
                          <w:tcPr>
                            <w:tcW w:w="915" w:type="dxa"/>
                            <w:tcBorders>
                              <w:top w:val="single" w:sz="4" w:space="0" w:color="auto"/>
                              <w:left w:val="nil"/>
                              <w:bottom w:val="single" w:sz="4" w:space="0" w:color="auto"/>
                              <w:right w:val="single" w:sz="4" w:space="0" w:color="auto"/>
                            </w:tcBorders>
                            <w:vAlign w:val="center"/>
                            <w:hideMark/>
                          </w:tcPr>
                          <w:p w:rsidR="0009546F" w:rsidRDefault="0009546F">
                            <w:r>
                              <w:t>253</w:t>
                            </w:r>
                          </w:p>
                        </w:tc>
                      </w:tr>
                      <w:tr w:rsidR="0009546F" w:rsidTr="00A475FE">
                        <w:trPr>
                          <w:trHeight w:val="255"/>
                        </w:trPr>
                        <w:tc>
                          <w:tcPr>
                            <w:tcW w:w="1350" w:type="dxa"/>
                            <w:tcBorders>
                              <w:top w:val="single" w:sz="4" w:space="0" w:color="auto"/>
                              <w:left w:val="single" w:sz="4" w:space="0" w:color="auto"/>
                              <w:bottom w:val="single" w:sz="4" w:space="0" w:color="auto"/>
                              <w:right w:val="single" w:sz="4" w:space="0" w:color="auto"/>
                            </w:tcBorders>
                            <w:noWrap/>
                            <w:vAlign w:val="center"/>
                          </w:tcPr>
                          <w:p w:rsidR="0009546F" w:rsidRDefault="0009546F">
                            <w:pPr>
                              <w:autoSpaceDE w:val="0"/>
                              <w:autoSpaceDN w:val="0"/>
                              <w:adjustRightInd w:val="0"/>
                              <w:rPr>
                                <w:rFonts w:eastAsia="Batang"/>
                                <w:color w:val="000000"/>
                                <w:lang w:eastAsia="ko-KR"/>
                              </w:rPr>
                            </w:pPr>
                          </w:p>
                        </w:tc>
                        <w:tc>
                          <w:tcPr>
                            <w:tcW w:w="1080" w:type="dxa"/>
                            <w:tcBorders>
                              <w:top w:val="single" w:sz="4" w:space="0" w:color="auto"/>
                              <w:left w:val="nil"/>
                              <w:bottom w:val="single" w:sz="4" w:space="0" w:color="auto"/>
                              <w:right w:val="single" w:sz="4" w:space="0" w:color="auto"/>
                            </w:tcBorders>
                            <w:noWrap/>
                            <w:vAlign w:val="center"/>
                          </w:tcPr>
                          <w:p w:rsidR="0009546F" w:rsidRDefault="0009546F">
                            <w:pPr>
                              <w:autoSpaceDE w:val="0"/>
                              <w:autoSpaceDN w:val="0"/>
                              <w:adjustRightInd w:val="0"/>
                              <w:rPr>
                                <w:rFonts w:eastAsia="Batang"/>
                                <w:color w:val="000000"/>
                                <w:lang w:eastAsia="ko-KR"/>
                              </w:rPr>
                            </w:pPr>
                          </w:p>
                        </w:tc>
                        <w:tc>
                          <w:tcPr>
                            <w:tcW w:w="1710" w:type="dxa"/>
                            <w:tcBorders>
                              <w:top w:val="single" w:sz="4" w:space="0" w:color="auto"/>
                              <w:left w:val="nil"/>
                              <w:bottom w:val="single" w:sz="4" w:space="0" w:color="auto"/>
                              <w:right w:val="single" w:sz="4" w:space="0" w:color="auto"/>
                            </w:tcBorders>
                            <w:vAlign w:val="center"/>
                            <w:hideMark/>
                          </w:tcPr>
                          <w:p w:rsidR="0009546F" w:rsidRDefault="0009546F">
                            <w:pPr>
                              <w:rPr>
                                <w:rFonts w:eastAsia="Calibri"/>
                              </w:rPr>
                            </w:pPr>
                            <w:r>
                              <w:rPr>
                                <w:rFonts w:eastAsia="Batang"/>
                                <w:color w:val="000000"/>
                                <w:lang w:eastAsia="ko-KR"/>
                              </w:rPr>
                              <w:t>3 min</w:t>
                            </w:r>
                          </w:p>
                        </w:tc>
                        <w:tc>
                          <w:tcPr>
                            <w:tcW w:w="885" w:type="dxa"/>
                            <w:tcBorders>
                              <w:top w:val="single" w:sz="4" w:space="0" w:color="auto"/>
                              <w:left w:val="single" w:sz="4" w:space="0" w:color="auto"/>
                              <w:bottom w:val="single" w:sz="4" w:space="0" w:color="auto"/>
                              <w:right w:val="single" w:sz="4" w:space="0" w:color="auto"/>
                            </w:tcBorders>
                            <w:noWrap/>
                            <w:vAlign w:val="center"/>
                            <w:hideMark/>
                          </w:tcPr>
                          <w:p w:rsidR="0009546F" w:rsidRDefault="0009546F">
                            <w:r>
                              <w:t>3,845</w:t>
                            </w:r>
                          </w:p>
                        </w:tc>
                        <w:tc>
                          <w:tcPr>
                            <w:tcW w:w="915" w:type="dxa"/>
                            <w:tcBorders>
                              <w:top w:val="single" w:sz="4" w:space="0" w:color="auto"/>
                              <w:left w:val="nil"/>
                              <w:bottom w:val="single" w:sz="4" w:space="0" w:color="auto"/>
                              <w:right w:val="single" w:sz="4" w:space="0" w:color="auto"/>
                            </w:tcBorders>
                            <w:vAlign w:val="center"/>
                            <w:hideMark/>
                          </w:tcPr>
                          <w:p w:rsidR="0009546F" w:rsidRDefault="0009546F">
                            <w:r>
                              <w:t>221</w:t>
                            </w:r>
                          </w:p>
                        </w:tc>
                      </w:tr>
                      <w:tr w:rsidR="0009546F" w:rsidTr="00A475FE">
                        <w:trPr>
                          <w:trHeight w:val="255"/>
                        </w:trPr>
                        <w:tc>
                          <w:tcPr>
                            <w:tcW w:w="1350" w:type="dxa"/>
                            <w:tcBorders>
                              <w:top w:val="single" w:sz="4" w:space="0" w:color="auto"/>
                              <w:left w:val="single" w:sz="4" w:space="0" w:color="auto"/>
                              <w:bottom w:val="single" w:sz="4" w:space="0" w:color="auto"/>
                              <w:right w:val="single" w:sz="4" w:space="0" w:color="auto"/>
                            </w:tcBorders>
                            <w:noWrap/>
                            <w:vAlign w:val="center"/>
                          </w:tcPr>
                          <w:p w:rsidR="0009546F" w:rsidRDefault="0009546F">
                            <w:pPr>
                              <w:autoSpaceDE w:val="0"/>
                              <w:autoSpaceDN w:val="0"/>
                              <w:adjustRightInd w:val="0"/>
                              <w:rPr>
                                <w:rFonts w:eastAsia="Batang"/>
                                <w:color w:val="000000"/>
                                <w:lang w:eastAsia="ko-KR"/>
                              </w:rPr>
                            </w:pPr>
                          </w:p>
                        </w:tc>
                        <w:tc>
                          <w:tcPr>
                            <w:tcW w:w="1080" w:type="dxa"/>
                            <w:tcBorders>
                              <w:top w:val="single" w:sz="4" w:space="0" w:color="auto"/>
                              <w:left w:val="nil"/>
                              <w:bottom w:val="single" w:sz="4" w:space="0" w:color="auto"/>
                              <w:right w:val="single" w:sz="4" w:space="0" w:color="auto"/>
                            </w:tcBorders>
                            <w:noWrap/>
                            <w:vAlign w:val="center"/>
                          </w:tcPr>
                          <w:p w:rsidR="0009546F" w:rsidRDefault="0009546F">
                            <w:pPr>
                              <w:autoSpaceDE w:val="0"/>
                              <w:autoSpaceDN w:val="0"/>
                              <w:adjustRightInd w:val="0"/>
                              <w:rPr>
                                <w:rFonts w:eastAsia="Batang"/>
                                <w:color w:val="000000"/>
                                <w:lang w:eastAsia="ko-KR"/>
                              </w:rPr>
                            </w:pPr>
                          </w:p>
                        </w:tc>
                        <w:tc>
                          <w:tcPr>
                            <w:tcW w:w="1710" w:type="dxa"/>
                            <w:tcBorders>
                              <w:top w:val="single" w:sz="4" w:space="0" w:color="auto"/>
                              <w:left w:val="nil"/>
                              <w:bottom w:val="single" w:sz="4" w:space="0" w:color="auto"/>
                              <w:right w:val="single" w:sz="4" w:space="0" w:color="auto"/>
                            </w:tcBorders>
                            <w:vAlign w:val="center"/>
                            <w:hideMark/>
                          </w:tcPr>
                          <w:p w:rsidR="0009546F" w:rsidRDefault="0009546F">
                            <w:pPr>
                              <w:rPr>
                                <w:rFonts w:eastAsia="Calibri"/>
                              </w:rPr>
                            </w:pPr>
                            <w:r>
                              <w:rPr>
                                <w:rFonts w:eastAsia="Batang"/>
                                <w:color w:val="000000"/>
                                <w:lang w:eastAsia="ko-KR"/>
                              </w:rPr>
                              <w:t>5 min</w:t>
                            </w:r>
                          </w:p>
                        </w:tc>
                        <w:tc>
                          <w:tcPr>
                            <w:tcW w:w="885" w:type="dxa"/>
                            <w:tcBorders>
                              <w:top w:val="single" w:sz="4" w:space="0" w:color="auto"/>
                              <w:left w:val="single" w:sz="4" w:space="0" w:color="auto"/>
                              <w:bottom w:val="single" w:sz="4" w:space="0" w:color="auto"/>
                              <w:right w:val="single" w:sz="4" w:space="0" w:color="auto"/>
                            </w:tcBorders>
                            <w:noWrap/>
                            <w:vAlign w:val="center"/>
                            <w:hideMark/>
                          </w:tcPr>
                          <w:p w:rsidR="0009546F" w:rsidRDefault="0009546F">
                            <w:r>
                              <w:t>3,515</w:t>
                            </w:r>
                          </w:p>
                        </w:tc>
                        <w:tc>
                          <w:tcPr>
                            <w:tcW w:w="915" w:type="dxa"/>
                            <w:tcBorders>
                              <w:top w:val="single" w:sz="4" w:space="0" w:color="auto"/>
                              <w:left w:val="nil"/>
                              <w:bottom w:val="single" w:sz="4" w:space="0" w:color="auto"/>
                              <w:right w:val="single" w:sz="4" w:space="0" w:color="auto"/>
                            </w:tcBorders>
                            <w:vAlign w:val="center"/>
                            <w:hideMark/>
                          </w:tcPr>
                          <w:p w:rsidR="0009546F" w:rsidRDefault="0009546F">
                            <w:r>
                              <w:t>202</w:t>
                            </w:r>
                          </w:p>
                        </w:tc>
                      </w:tr>
                      <w:tr w:rsidR="0009546F" w:rsidTr="00A475FE">
                        <w:trPr>
                          <w:trHeight w:val="255"/>
                        </w:trPr>
                        <w:tc>
                          <w:tcPr>
                            <w:tcW w:w="1350" w:type="dxa"/>
                            <w:tcBorders>
                              <w:top w:val="single" w:sz="4" w:space="0" w:color="auto"/>
                              <w:left w:val="single" w:sz="4" w:space="0" w:color="auto"/>
                              <w:bottom w:val="single" w:sz="4" w:space="0" w:color="auto"/>
                              <w:right w:val="single" w:sz="4" w:space="0" w:color="auto"/>
                            </w:tcBorders>
                            <w:noWrap/>
                            <w:vAlign w:val="center"/>
                            <w:hideMark/>
                          </w:tcPr>
                          <w:p w:rsidR="0009546F" w:rsidRDefault="0009546F">
                            <w:pPr>
                              <w:autoSpaceDE w:val="0"/>
                              <w:autoSpaceDN w:val="0"/>
                              <w:adjustRightInd w:val="0"/>
                              <w:rPr>
                                <w:rFonts w:eastAsia="Batang"/>
                                <w:color w:val="000000"/>
                                <w:lang w:eastAsia="ko-KR"/>
                              </w:rPr>
                            </w:pPr>
                            <w:r>
                              <w:rPr>
                                <w:rFonts w:eastAsia="Batang"/>
                                <w:color w:val="000000"/>
                                <w:lang w:eastAsia="ko-KR"/>
                              </w:rPr>
                              <w:t>CARB</w:t>
                            </w:r>
                          </w:p>
                        </w:tc>
                        <w:tc>
                          <w:tcPr>
                            <w:tcW w:w="1080" w:type="dxa"/>
                            <w:tcBorders>
                              <w:top w:val="single" w:sz="4" w:space="0" w:color="auto"/>
                              <w:left w:val="nil"/>
                              <w:bottom w:val="single" w:sz="4" w:space="0" w:color="auto"/>
                              <w:right w:val="single" w:sz="4" w:space="0" w:color="auto"/>
                            </w:tcBorders>
                            <w:noWrap/>
                            <w:vAlign w:val="center"/>
                            <w:hideMark/>
                          </w:tcPr>
                          <w:p w:rsidR="0009546F" w:rsidRDefault="0009546F">
                            <w:pPr>
                              <w:autoSpaceDE w:val="0"/>
                              <w:autoSpaceDN w:val="0"/>
                              <w:adjustRightInd w:val="0"/>
                              <w:rPr>
                                <w:rFonts w:eastAsia="Batang"/>
                                <w:color w:val="000000"/>
                                <w:lang w:eastAsia="ko-KR"/>
                              </w:rPr>
                            </w:pPr>
                            <w:r>
                              <w:rPr>
                                <w:rFonts w:eastAsia="Batang"/>
                                <w:color w:val="000000"/>
                                <w:lang w:eastAsia="ko-KR"/>
                              </w:rPr>
                              <w:t>7.2%</w:t>
                            </w:r>
                          </w:p>
                        </w:tc>
                        <w:tc>
                          <w:tcPr>
                            <w:tcW w:w="1710" w:type="dxa"/>
                            <w:tcBorders>
                              <w:top w:val="single" w:sz="4" w:space="0" w:color="auto"/>
                              <w:left w:val="nil"/>
                              <w:bottom w:val="single" w:sz="4" w:space="0" w:color="auto"/>
                              <w:right w:val="single" w:sz="4" w:space="0" w:color="auto"/>
                            </w:tcBorders>
                            <w:vAlign w:val="center"/>
                            <w:hideMark/>
                          </w:tcPr>
                          <w:p w:rsidR="0009546F" w:rsidRDefault="0009546F">
                            <w:pPr>
                              <w:rPr>
                                <w:rFonts w:eastAsia="Calibri"/>
                              </w:rPr>
                            </w:pPr>
                            <w:r>
                              <w:rPr>
                                <w:rFonts w:eastAsia="Batang"/>
                                <w:color w:val="000000"/>
                                <w:lang w:eastAsia="ko-KR"/>
                              </w:rPr>
                              <w:t>n/a</w:t>
                            </w:r>
                          </w:p>
                        </w:tc>
                        <w:tc>
                          <w:tcPr>
                            <w:tcW w:w="885" w:type="dxa"/>
                            <w:tcBorders>
                              <w:top w:val="single" w:sz="4" w:space="0" w:color="auto"/>
                              <w:left w:val="single" w:sz="4" w:space="0" w:color="auto"/>
                              <w:bottom w:val="single" w:sz="4" w:space="0" w:color="auto"/>
                              <w:right w:val="single" w:sz="4" w:space="0" w:color="auto"/>
                            </w:tcBorders>
                            <w:noWrap/>
                            <w:vAlign w:val="center"/>
                            <w:hideMark/>
                          </w:tcPr>
                          <w:p w:rsidR="0009546F" w:rsidRDefault="0009546F">
                            <w:r>
                              <w:t>769</w:t>
                            </w:r>
                          </w:p>
                        </w:tc>
                        <w:tc>
                          <w:tcPr>
                            <w:tcW w:w="915" w:type="dxa"/>
                            <w:tcBorders>
                              <w:top w:val="single" w:sz="4" w:space="0" w:color="auto"/>
                              <w:left w:val="nil"/>
                              <w:bottom w:val="single" w:sz="4" w:space="0" w:color="auto"/>
                              <w:right w:val="single" w:sz="4" w:space="0" w:color="auto"/>
                            </w:tcBorders>
                            <w:vAlign w:val="center"/>
                            <w:hideMark/>
                          </w:tcPr>
                          <w:p w:rsidR="0009546F" w:rsidRDefault="0009546F">
                            <w:r>
                              <w:t>44</w:t>
                            </w:r>
                          </w:p>
                        </w:tc>
                      </w:tr>
                      <w:tr w:rsidR="0009546F" w:rsidTr="00A475FE">
                        <w:trPr>
                          <w:trHeight w:val="255"/>
                        </w:trPr>
                        <w:tc>
                          <w:tcPr>
                            <w:tcW w:w="4140" w:type="dxa"/>
                            <w:gridSpan w:val="3"/>
                            <w:tcBorders>
                              <w:top w:val="single" w:sz="4" w:space="0" w:color="auto"/>
                              <w:left w:val="single" w:sz="4" w:space="0" w:color="auto"/>
                              <w:bottom w:val="single" w:sz="4" w:space="0" w:color="auto"/>
                              <w:right w:val="single" w:sz="4" w:space="0" w:color="auto"/>
                            </w:tcBorders>
                            <w:noWrap/>
                            <w:vAlign w:val="center"/>
                            <w:hideMark/>
                          </w:tcPr>
                          <w:p w:rsidR="0009546F" w:rsidRDefault="0009546F">
                            <w:r>
                              <w:rPr>
                                <w:rFonts w:eastAsia="Batang"/>
                                <w:color w:val="000000"/>
                                <w:lang w:eastAsia="ko-KR"/>
                              </w:rPr>
                              <w:t>Total Emissions from Sector</w:t>
                            </w:r>
                          </w:p>
                        </w:tc>
                        <w:tc>
                          <w:tcPr>
                            <w:tcW w:w="885" w:type="dxa"/>
                            <w:tcBorders>
                              <w:top w:val="single" w:sz="4" w:space="0" w:color="auto"/>
                              <w:left w:val="single" w:sz="4" w:space="0" w:color="auto"/>
                              <w:bottom w:val="single" w:sz="4" w:space="0" w:color="auto"/>
                              <w:right w:val="single" w:sz="4" w:space="0" w:color="auto"/>
                            </w:tcBorders>
                            <w:noWrap/>
                            <w:vAlign w:val="center"/>
                            <w:hideMark/>
                          </w:tcPr>
                          <w:p w:rsidR="0009546F" w:rsidRDefault="0009546F">
                            <w:r>
                              <w:t>18,464</w:t>
                            </w:r>
                          </w:p>
                        </w:tc>
                        <w:tc>
                          <w:tcPr>
                            <w:tcW w:w="915" w:type="dxa"/>
                            <w:tcBorders>
                              <w:top w:val="single" w:sz="4" w:space="0" w:color="auto"/>
                              <w:left w:val="nil"/>
                              <w:bottom w:val="single" w:sz="4" w:space="0" w:color="auto"/>
                              <w:right w:val="single" w:sz="4" w:space="0" w:color="auto"/>
                            </w:tcBorders>
                            <w:vAlign w:val="center"/>
                            <w:hideMark/>
                          </w:tcPr>
                          <w:p w:rsidR="0009546F" w:rsidRDefault="0009546F">
                            <w:r>
                              <w:t>16,711</w:t>
                            </w:r>
                          </w:p>
                        </w:tc>
                      </w:tr>
                    </w:tbl>
                    <w:p w:rsidR="0009546F" w:rsidRDefault="0009546F" w:rsidP="009B2F9B"/>
                  </w:txbxContent>
                </v:textbox>
                <w10:wrap type="square"/>
              </v:shape>
            </w:pict>
          </mc:Fallback>
        </mc:AlternateContent>
      </w:r>
      <w:r>
        <w:rPr>
          <w:rFonts w:ascii="Calibri" w:hAnsi="Calibri"/>
        </w:rPr>
        <w:t>Reducing idling from nonroad diesel engines inherently reduces other pollutants that are produced by nonroad diesel engines.  The same techniques used to calculate NO</w:t>
      </w:r>
      <w:r>
        <w:rPr>
          <w:rFonts w:ascii="Calibri" w:hAnsi="Calibri"/>
          <w:vertAlign w:val="subscript"/>
        </w:rPr>
        <w:t>X</w:t>
      </w:r>
      <w:r>
        <w:rPr>
          <w:rFonts w:ascii="Calibri" w:hAnsi="Calibri"/>
        </w:rPr>
        <w:t xml:space="preserve"> emissions benefits from the regulation were used to determine reductions </w:t>
      </w:r>
      <w:r w:rsidR="0060782B">
        <w:rPr>
          <w:noProof/>
        </w:rPr>
        <mc:AlternateContent>
          <mc:Choice Requires="wps">
            <w:drawing>
              <wp:anchor distT="0" distB="0" distL="114300" distR="114300" simplePos="0" relativeHeight="251773952" behindDoc="0" locked="1" layoutInCell="1" allowOverlap="0" wp14:anchorId="37F0C09B" wp14:editId="2A19CA42">
                <wp:simplePos x="0" y="0"/>
                <wp:positionH relativeFrom="margin">
                  <wp:posOffset>2914650</wp:posOffset>
                </wp:positionH>
                <wp:positionV relativeFrom="bottomMargin">
                  <wp:posOffset>744220</wp:posOffset>
                </wp:positionV>
                <wp:extent cx="914400" cy="237490"/>
                <wp:effectExtent l="0" t="0" r="0" b="0"/>
                <wp:wrapNone/>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237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782B" w:rsidRDefault="0060782B" w:rsidP="0060782B">
                            <w:pPr>
                              <w:ind w:right="60"/>
                              <w:rPr>
                                <w:rFonts w:asciiTheme="minorHAnsi" w:hAnsiTheme="minorHAnsi"/>
                                <w:sz w:val="20"/>
                                <w:szCs w:val="20"/>
                              </w:rPr>
                            </w:pPr>
                            <w:hyperlink w:anchor="TOC" w:history="1">
                              <w:r>
                                <w:rPr>
                                  <w:rStyle w:val="Hyperlink"/>
                                  <w:sz w:val="20"/>
                                  <w:szCs w:val="20"/>
                                </w:rPr>
                                <w:t>Back to TOC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0C09B" id="Text Box 224" o:spid="_x0000_s1077" type="#_x0000_t202" style="position:absolute;left:0;text-align:left;margin-left:229.5pt;margin-top:58.6pt;width:1in;height:18.7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NkmlwIAAK4FAAAOAAAAZHJzL2Uyb0RvYy54bWysVN9PGzEMfp+0/yHK+7i2FBgnrqgDMU2q&#10;AK1MPKe5hEYkcZakvev+epzc9QeMF6a93DnxZzu2P/visjWarIUPCmxFh0cDSoTlUCv7VNFfDzdf&#10;vlISIrM102BFRTci0MvJ508XjSvFCJaga+EJOrGhbFxFlzG6sigCXwrDwhE4YVEpwRsW8eifitqz&#10;Br0bXYwGg9OiAV87D1yEgLfXnZJOsn8pBY93UgYRia4ovi3mr8/fRfoWkwtWPnnmlor3z2D/8ArD&#10;lMWgO1fXLDKy8uovV0ZxDwFkPOJgCpBScZFzwGyGgzfZzJfMiZwLFie4XZnC/3PLb9f3nqi6oqPR&#10;mBLLDDbpQbSRfIOWpDusUONCicC5Q2hsUYGdztkGNwP+HBBSHGA6g4DoVJFWepP+mCtBQ2zCZlf4&#10;FIfj5flwPB6ghqNqdHw2Ps+NKfbGzof4XYAhSaiox77mB7D1LMQUnpVbSIoVQKv6RmmdD4lL4kp7&#10;smbIAh2HKSe0eIXSljQVPT0+GWTHFpJ5h9M2uRGZTX24lG2XYJbiRouE0fankFjNnOc7sRnnwu7i&#10;Z3RCSQz1EcMev3/VR4y7PNAiRwYbd8ZGWfBdX1+XrH7elkx2+L7focs7lSC2izbT6CRD09UC6g0S&#10;xkM3dMHxG4Xdm7EQ75nHKcOG4+aId/iRGrD60EuULMH/ee8+4ZH8qKWkwamtaPi9Yl5Qon9YHItM&#10;JBzzfBifnI0whj/ULA41dmWuACkxxB3leBYTPuqtKD2YR1ww0xQVVcxyjF3RuBWvYrdLcEFxMZ1m&#10;EA62Y3Fm545v5yRx86F9ZN71BI7I/FvYzjcr3/C4w6YGWZiuIkiVSb6vat8AXAqZyf0CS1vn8JxR&#10;+zU7eQEAAP//AwBQSwMEFAAGAAgAAAAhABN3KkfhAAAACwEAAA8AAABkcnMvZG93bnJldi54bWxM&#10;j8FOwzAQRO9I/IO1SFwq6qS0KYQ4FUJUag89EHrpzY2XJCJeR7bbhr9nOZXjzoxm3xSr0fbijD50&#10;jhSk0wQEUu1MR42C/ef64QlEiJqM7h2hgh8MsCpvbwqdG3ehDzxXsRFcQiHXCtoYh1zKULdodZi6&#10;AYm9L+etjnz6RhqvL1xuezlLkkxa3RF/aPWAby3W39XJKtiFw2Zy8Jv1pApGbhF379s0KnV/N76+&#10;gIg4xmsY/vAZHUpmOroTmSB6BfPFM2+JbKTLGQhOZMkjK0dWFvMMZFnI/xvKXwAAAP//AwBQSwEC&#10;LQAUAAYACAAAACEAtoM4kv4AAADhAQAAEwAAAAAAAAAAAAAAAAAAAAAAW0NvbnRlbnRfVHlwZXNd&#10;LnhtbFBLAQItABQABgAIAAAAIQA4/SH/1gAAAJQBAAALAAAAAAAAAAAAAAAAAC8BAABfcmVscy8u&#10;cmVsc1BLAQItABQABgAIAAAAIQAldNkmlwIAAK4FAAAOAAAAAAAAAAAAAAAAAC4CAABkcnMvZTJv&#10;RG9jLnhtbFBLAQItABQABgAIAAAAIQATdypH4QAAAAsBAAAPAAAAAAAAAAAAAAAAAPEEAABkcnMv&#10;ZG93bnJldi54bWxQSwUGAAAAAAQABADzAAAA/wUAAAAA&#10;" o:allowoverlap="f" fillcolor="white [3201]" stroked="f" strokeweight=".5pt">
                <v:path arrowok="t"/>
                <v:textbox>
                  <w:txbxContent>
                    <w:p w:rsidR="0060782B" w:rsidRDefault="0060782B" w:rsidP="0060782B">
                      <w:pPr>
                        <w:ind w:right="60"/>
                        <w:rPr>
                          <w:rFonts w:asciiTheme="minorHAnsi" w:hAnsiTheme="minorHAnsi"/>
                          <w:sz w:val="20"/>
                          <w:szCs w:val="20"/>
                        </w:rPr>
                      </w:pPr>
                      <w:hyperlink w:anchor="TOC" w:history="1">
                        <w:r>
                          <w:rPr>
                            <w:rStyle w:val="Hyperlink"/>
                            <w:sz w:val="20"/>
                            <w:szCs w:val="20"/>
                          </w:rPr>
                          <w:t>Back to TOC</w:t>
                        </w:r>
                      </w:hyperlink>
                    </w:p>
                  </w:txbxContent>
                </v:textbox>
                <w10:wrap anchorx="margin" anchory="margin"/>
                <w10:anchorlock/>
              </v:shape>
            </w:pict>
          </mc:Fallback>
        </mc:AlternateContent>
      </w:r>
      <w:r>
        <w:rPr>
          <w:rFonts w:ascii="Calibri" w:hAnsi="Calibri"/>
        </w:rPr>
        <w:t xml:space="preserve">that would occur from </w:t>
      </w:r>
      <w:r>
        <w:rPr>
          <w:rFonts w:ascii="Calibri" w:hAnsi="Calibri"/>
        </w:rPr>
        <w:lastRenderedPageBreak/>
        <w:t xml:space="preserve">implementing the rule in the OTR for THC and PM.  The potential emission benefit for the OTC states is in </w:t>
      </w:r>
      <w:r>
        <w:rPr>
          <w:rFonts w:ascii="Calibri" w:hAnsi="Calibri"/>
        </w:rPr>
        <w:fldChar w:fldCharType="begin"/>
      </w:r>
      <w:r>
        <w:rPr>
          <w:rFonts w:ascii="Calibri" w:hAnsi="Calibri"/>
        </w:rPr>
        <w:instrText xml:space="preserve"> REF _Ref287529934  \* MERGEFORMAT </w:instrText>
      </w:r>
      <w:r>
        <w:rPr>
          <w:rFonts w:ascii="Calibri" w:hAnsi="Calibri"/>
        </w:rPr>
        <w:fldChar w:fldCharType="separate"/>
      </w:r>
      <w:r>
        <w:rPr>
          <w:rFonts w:ascii="Calibri" w:hAnsi="Calibri"/>
        </w:rPr>
        <w:t xml:space="preserve">Table </w:t>
      </w:r>
      <w:r>
        <w:rPr>
          <w:rFonts w:ascii="Calibri" w:hAnsi="Calibri"/>
          <w:noProof/>
        </w:rPr>
        <w:t>4</w:t>
      </w:r>
      <w:r>
        <w:rPr>
          <w:rFonts w:ascii="Calibri" w:hAnsi="Calibri"/>
        </w:rPr>
        <w:fldChar w:fldCharType="end"/>
      </w:r>
      <w:r>
        <w:rPr>
          <w:rFonts w:ascii="Calibri" w:hAnsi="Calibri"/>
        </w:rPr>
        <w:t xml:space="preserve">.  </w:t>
      </w:r>
    </w:p>
    <w:p w:rsidR="009B2F9B" w:rsidRDefault="0025362E" w:rsidP="0025362E">
      <w:pPr>
        <w:pStyle w:val="Heading2"/>
      </w:pPr>
      <w:bookmarkStart w:id="399" w:name="_Toc461021012"/>
      <w:bookmarkStart w:id="400" w:name="_Toc461025676"/>
      <w:bookmarkStart w:id="401" w:name="_Toc461025881"/>
      <w:bookmarkStart w:id="402" w:name="_Toc461027155"/>
      <w:r>
        <w:t>3</w:t>
      </w:r>
      <w:r w:rsidR="009B2F9B">
        <w:t>.6</w:t>
      </w:r>
      <w:r w:rsidR="009B2F9B">
        <w:tab/>
        <w:t>Aftermarket Catalytic Converters</w:t>
      </w:r>
      <w:bookmarkEnd w:id="399"/>
      <w:bookmarkEnd w:id="400"/>
      <w:bookmarkEnd w:id="401"/>
      <w:bookmarkEnd w:id="402"/>
    </w:p>
    <w:p w:rsidR="009B2F9B" w:rsidRDefault="009B2F9B" w:rsidP="0081054E">
      <w:pPr>
        <w:spacing w:after="120" w:line="240" w:lineRule="auto"/>
        <w:jc w:val="both"/>
        <w:rPr>
          <w:rFonts w:cs="Calibri"/>
        </w:rPr>
      </w:pPr>
      <w:r>
        <w:rPr>
          <w:rFonts w:cs="Calibri"/>
        </w:rPr>
        <w:t xml:space="preserve">Catalytic converters reduce emissions through chemical reactions formed in the engine during combustion but prior to the exhaust leaving the tailpipe.  Several precious metals, most notably platinum, palladium and rhodium, help to convert harmful pollution into carbon dioxide, as well as the non-toxic gasses of water and nitrogen.  As the catalytic converter ages,  reactions occur with sulfur dioxide, which results in buildup on the surfaces of the catalyst, in effect,  “poisoning” it and making it less effective. </w:t>
      </w:r>
    </w:p>
    <w:p w:rsidR="009B2F9B" w:rsidRDefault="009B2F9B" w:rsidP="0081054E">
      <w:pPr>
        <w:spacing w:after="120" w:line="240" w:lineRule="auto"/>
        <w:jc w:val="both"/>
        <w:rPr>
          <w:rFonts w:cs="Calibri"/>
        </w:rPr>
      </w:pPr>
      <w:r>
        <w:rPr>
          <w:rFonts w:cs="Calibri"/>
        </w:rPr>
        <w:t>Catalytic converters first obtained wide-spread use in 1975 in the United States and reduced pollution from unburned hydrocarbons and carbon monoxide (CO), the former of which acts as an ozone precursor.  These types of catalytic converters are known as two-way catalysts.  Technological advances in the early 1980s allowed for catalytic converters to also reduce oxides of nitrogen (NO</w:t>
      </w:r>
      <w:r>
        <w:rPr>
          <w:rFonts w:cs="Calibri"/>
          <w:vertAlign w:val="subscript"/>
        </w:rPr>
        <w:t>X</w:t>
      </w:r>
      <w:r>
        <w:rPr>
          <w:rFonts w:cs="Calibri"/>
        </w:rPr>
        <w:t>) which are also precursors to ozone pollution.  The converters that reduce NO</w:t>
      </w:r>
      <w:r>
        <w:rPr>
          <w:rFonts w:cs="Calibri"/>
          <w:vertAlign w:val="subscript"/>
        </w:rPr>
        <w:t>X</w:t>
      </w:r>
      <w:r>
        <w:rPr>
          <w:rFonts w:cs="Calibri"/>
        </w:rPr>
        <w:t xml:space="preserve"> are commonly known as a three-way catalyst.  </w:t>
      </w:r>
    </w:p>
    <w:p w:rsidR="009B2F9B" w:rsidRDefault="009B2F9B" w:rsidP="0081054E">
      <w:pPr>
        <w:spacing w:after="120" w:line="240" w:lineRule="auto"/>
        <w:jc w:val="both"/>
        <w:rPr>
          <w:rFonts w:cs="Calibri"/>
        </w:rPr>
      </w:pPr>
      <w:r>
        <w:rPr>
          <w:rFonts w:cs="Calibri"/>
        </w:rPr>
        <w:t xml:space="preserve">Many states have programs to inspect vehicles for malfunctioning catalytic converters called Inspections and Maintenance (I/M) programs.  When a catalytic converter fails the emissions tests from an I/M program there are three options for replacement, a converter manufactured by the original manufacturer of the car (OEM), a still functional converter taken from another car (used), and a converter manufactured by a third party (aftermarket). To ensure that aftermarket converters meet standards there exists two certification regimes, one headed by USEPA and one by the California Air Resources Board (CARB). </w:t>
      </w:r>
    </w:p>
    <w:p w:rsidR="009B2F9B" w:rsidRDefault="009B2F9B" w:rsidP="0081054E">
      <w:pPr>
        <w:spacing w:after="120" w:line="240" w:lineRule="auto"/>
        <w:jc w:val="both"/>
        <w:rPr>
          <w:rFonts w:cs="Calibri"/>
        </w:rPr>
      </w:pPr>
      <w:r>
        <w:rPr>
          <w:rFonts w:cs="Calibri"/>
        </w:rPr>
        <w:t xml:space="preserve">The anti-tampering provisions of section 203(a)(3) of the Clean Air Act prohibits against the removal, or rendering inoperative, of emission control devices such as the catalytic converter.  Therefore, replacement of a malfunctioning catalytic converter should take place using one of the three aforementioned options, even within states, or areas, without an I/M program. </w:t>
      </w:r>
    </w:p>
    <w:p w:rsidR="009B2F9B" w:rsidRDefault="0025362E" w:rsidP="0025362E">
      <w:pPr>
        <w:pStyle w:val="Heading3"/>
        <w:rPr>
          <w:rFonts w:ascii="Calibri" w:eastAsia="Calibri" w:hAnsi="Calibri" w:cs="Times New Roman"/>
        </w:rPr>
      </w:pPr>
      <w:bookmarkStart w:id="403" w:name="_Toc461021013"/>
      <w:bookmarkStart w:id="404" w:name="_Toc461025677"/>
      <w:bookmarkStart w:id="405" w:name="_Toc461025882"/>
      <w:bookmarkStart w:id="406" w:name="_Toc461027156"/>
      <w:r>
        <w:rPr>
          <w:rFonts w:eastAsia="Calibri"/>
        </w:rPr>
        <w:t>3</w:t>
      </w:r>
      <w:r w:rsidR="009B2F9B">
        <w:rPr>
          <w:rFonts w:eastAsia="Calibri"/>
        </w:rPr>
        <w:t>.6.1</w:t>
      </w:r>
      <w:r w:rsidR="009B2F9B">
        <w:rPr>
          <w:rFonts w:eastAsia="Calibri"/>
        </w:rPr>
        <w:tab/>
      </w:r>
      <w:r>
        <w:rPr>
          <w:rFonts w:eastAsia="Calibri"/>
        </w:rPr>
        <w:tab/>
      </w:r>
      <w:r w:rsidR="009B2F9B">
        <w:rPr>
          <w:rFonts w:eastAsia="Calibri"/>
        </w:rPr>
        <w:t>Existing Standards</w:t>
      </w:r>
      <w:bookmarkEnd w:id="403"/>
      <w:bookmarkEnd w:id="404"/>
      <w:bookmarkEnd w:id="405"/>
      <w:bookmarkEnd w:id="406"/>
    </w:p>
    <w:p w:rsidR="009B2F9B" w:rsidRDefault="009B2F9B" w:rsidP="0081054E">
      <w:pPr>
        <w:pStyle w:val="NoSpacing"/>
        <w:ind w:left="360"/>
        <w:jc w:val="both"/>
        <w:rPr>
          <w:rFonts w:ascii="Calibri" w:hAnsi="Calibri"/>
        </w:rPr>
      </w:pPr>
      <w:r>
        <w:rPr>
          <w:rFonts w:ascii="Calibri" w:hAnsi="Calibri"/>
        </w:rPr>
        <w:t xml:space="preserve">A federal policy was put in place in 1986.  The standard is efficiency based (70% HC -70% CO -30% </w:t>
      </w:r>
      <w:r>
        <w:rPr>
          <w:rFonts w:ascii="Calibri" w:hAnsi="Calibri" w:cs="Calibri"/>
        </w:rPr>
        <w:t>NO</w:t>
      </w:r>
      <w:r>
        <w:rPr>
          <w:rFonts w:ascii="Calibri" w:hAnsi="Calibri" w:cs="Calibri"/>
          <w:vertAlign w:val="subscript"/>
        </w:rPr>
        <w:t>X</w:t>
      </w:r>
      <w:r>
        <w:rPr>
          <w:rFonts w:ascii="Calibri" w:hAnsi="Calibri"/>
        </w:rPr>
        <w:t xml:space="preserve">) and must meet one of these options:  </w:t>
      </w:r>
    </w:p>
    <w:p w:rsidR="009B2F9B" w:rsidRDefault="009B2F9B" w:rsidP="0081054E">
      <w:pPr>
        <w:pStyle w:val="NoSpacing"/>
        <w:numPr>
          <w:ilvl w:val="0"/>
          <w:numId w:val="24"/>
        </w:numPr>
        <w:ind w:left="1260"/>
        <w:jc w:val="both"/>
        <w:rPr>
          <w:rFonts w:ascii="Calibri" w:hAnsi="Calibri"/>
        </w:rPr>
      </w:pPr>
      <w:r>
        <w:rPr>
          <w:rFonts w:ascii="Calibri" w:hAnsi="Calibri"/>
        </w:rPr>
        <w:t>Option 1:  aftermarket catalytic converters that meet the requirements of the current USEPA aftermarket catalytic converters policy, provided the aftermarket catalytic converter warranty is honored when the OBDII system indicates a catalyst malfunction during the 25,000 mile warranty period or;</w:t>
      </w:r>
    </w:p>
    <w:p w:rsidR="009B2F9B" w:rsidRDefault="009B2F9B" w:rsidP="0081054E">
      <w:pPr>
        <w:pStyle w:val="NoSpacing"/>
        <w:numPr>
          <w:ilvl w:val="0"/>
          <w:numId w:val="24"/>
        </w:numPr>
        <w:ind w:left="1260"/>
        <w:jc w:val="both"/>
        <w:rPr>
          <w:rFonts w:ascii="Calibri" w:hAnsi="Calibri"/>
        </w:rPr>
      </w:pPr>
      <w:r>
        <w:rPr>
          <w:rFonts w:ascii="Calibri" w:hAnsi="Calibri"/>
        </w:rPr>
        <w:t>Option 2: aftermarket catalytic converters that meet the requirements of the California aftermarket catalytic converter/OBDII procedures provided the aftermarket catalytic converters warranty is honored when the OBDII system indicates a catalyst malfunction during the 25,000 mile warranty period, and provided that the information described above is submitted to the USEPA.</w:t>
      </w:r>
    </w:p>
    <w:p w:rsidR="009B2F9B" w:rsidRDefault="009B2F9B" w:rsidP="0081054E">
      <w:pPr>
        <w:pStyle w:val="NoSpacing"/>
        <w:spacing w:before="120" w:after="120"/>
        <w:ind w:left="360"/>
        <w:jc w:val="both"/>
        <w:rPr>
          <w:rFonts w:ascii="Calibri" w:hAnsi="Calibri"/>
        </w:rPr>
      </w:pPr>
      <w:r>
        <w:rPr>
          <w:rFonts w:ascii="Calibri" w:hAnsi="Calibri"/>
        </w:rPr>
        <w:t xml:space="preserve">Used (reconditioned) converters are also covered under the 1986 policy with a requirement </w:t>
      </w:r>
      <w:r w:rsidR="0060782B">
        <w:rPr>
          <w:noProof/>
        </w:rPr>
        <mc:AlternateContent>
          <mc:Choice Requires="wps">
            <w:drawing>
              <wp:anchor distT="0" distB="0" distL="114300" distR="114300" simplePos="0" relativeHeight="251776000" behindDoc="0" locked="1" layoutInCell="1" allowOverlap="0" wp14:anchorId="37F0C09B" wp14:editId="2A19CA42">
                <wp:simplePos x="0" y="0"/>
                <wp:positionH relativeFrom="margin">
                  <wp:posOffset>2733675</wp:posOffset>
                </wp:positionH>
                <wp:positionV relativeFrom="bottomMargin">
                  <wp:posOffset>193675</wp:posOffset>
                </wp:positionV>
                <wp:extent cx="914400" cy="237490"/>
                <wp:effectExtent l="0" t="0" r="0" b="0"/>
                <wp:wrapNone/>
                <wp:docPr id="22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237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782B" w:rsidRDefault="0060782B" w:rsidP="0060782B">
                            <w:pPr>
                              <w:ind w:right="60"/>
                              <w:rPr>
                                <w:rFonts w:asciiTheme="minorHAnsi" w:hAnsiTheme="minorHAnsi"/>
                                <w:sz w:val="20"/>
                                <w:szCs w:val="20"/>
                              </w:rPr>
                            </w:pPr>
                            <w:hyperlink w:anchor="TOC" w:history="1">
                              <w:r>
                                <w:rPr>
                                  <w:rStyle w:val="Hyperlink"/>
                                  <w:sz w:val="20"/>
                                  <w:szCs w:val="20"/>
                                </w:rPr>
                                <w:t>Back</w:t>
                              </w:r>
                              <w:r>
                                <w:rPr>
                                  <w:rStyle w:val="Hyperlink"/>
                                  <w:sz w:val="20"/>
                                  <w:szCs w:val="20"/>
                                </w:rPr>
                                <w:t xml:space="preserve"> </w:t>
                              </w:r>
                              <w:r>
                                <w:rPr>
                                  <w:rStyle w:val="Hyperlink"/>
                                  <w:sz w:val="20"/>
                                  <w:szCs w:val="20"/>
                                </w:rPr>
                                <w:t>to TOC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0C09B" id="Text Box 225" o:spid="_x0000_s1078" type="#_x0000_t202" style="position:absolute;left:0;text-align:left;margin-left:215.25pt;margin-top:15.25pt;width:1in;height:18.7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V2mQIAAK4FAAAOAAAAZHJzL2Uyb0RvYy54bWysVFFP2zAQfp+0/2D5faQNLYyIFHUgpkkV&#10;oJWJZ9exqYXj82y3SffrOTtJKYwXpr0kZ993d7677+78oq012QrnFZiSjo9GlAjDoVLmsaS/7q+/&#10;fKXEB2YqpsGIku6Epxezz5/OG1uIHNagK+EIOjG+aGxJ1yHYIss8X4ua+SOwwqBSgqtZwKN7zCrH&#10;GvRe6ywfjU6yBlxlHXDhPd5edUo6S/6lFDzcSulFILqk+LaQvi59V/Gbzc5Z8eiYXSveP4P9wytq&#10;pgwG3bu6YoGRjVN/uaoVd+BBhiMOdQZSKi5SDpjNePQmm+WaWZFyweJ4uy+T/39u+c32zhFVlTTP&#10;p5QYVmOT7kUbyDdoSbzDCjXWFwhcWoSGFhXY6ZSttwvgTx4h2QGmM/CIjhVppavjH3MlaIhN2O0L&#10;H+NwvDwbTyYj1HBU5cenk7PUmOzF2DofvguoSRRK6rCv6QFsu/AhhmfFAImxPGhVXSut0yFySVxq&#10;R7YMWaDDOOaEFq9Q2pCmpCfH01FybCCadzhtohuR2NSHi9l2CSYp7LSIGG1+ConVTHm+E5txLsw+&#10;fkJHlMRQHzHs8S+v+ohxlwdapMhgwt64VgZc19fXJauehpLJDt/323d5xxKEdtUmGk3zgTErqHZI&#10;GAfd0HnLrxV2b8F8uGMOpwwbjpsj3OJHasDqQy9Rsgb35737iEfyo5aSBqe2pP73hjlBif5hcCwS&#10;kXDM02EyPc0xhjvUrA41ZlNfAlJijDvK8iRGfNCDKB3UD7hg5jEqqpjhGLukYRAvQ7dLcEFxMZ8n&#10;EA62ZWFhlpYPcxK5ed8+MGd7Agdk/g0M882KNzzusLFBBuabAFIlksdCd1XtG4BLITG5X2Bx6xye&#10;E+plzc6eAQAA//8DAFBLAwQUAAYACAAAACEAufuIft8AAAAJAQAADwAAAGRycy9kb3ducmV2Lnht&#10;bEyPPU/DQAyGdyT+w8lILFV7KfQDQpwKISq1QwdSlm7XnEkicr4od23Dv8ewwGTZfvT6cbYaXKvO&#10;1IfGM8J0koAiLr1tuEJ436/HD6BCNGxN65kQvijAKr++ykxq/YXf6FzESkkIh9Qg1DF2qdahrMmZ&#10;MPEdsew+fO9MlLavtO3NRcJdq++SZKGdaVgu1Kajl5rKz+LkEHbhsBkd+s16VASrt0S71+00It7e&#10;DM9PoCIN8Q+GH31Rh1ycjv7ENqgWYXafzAVF+K0CzJczGRwRFstH0Hmm/3+QfwMAAP//AwBQSwEC&#10;LQAUAAYACAAAACEAtoM4kv4AAADhAQAAEwAAAAAAAAAAAAAAAAAAAAAAW0NvbnRlbnRfVHlwZXNd&#10;LnhtbFBLAQItABQABgAIAAAAIQA4/SH/1gAAAJQBAAALAAAAAAAAAAAAAAAAAC8BAABfcmVscy8u&#10;cmVsc1BLAQItABQABgAIAAAAIQCy1+V2mQIAAK4FAAAOAAAAAAAAAAAAAAAAAC4CAABkcnMvZTJv&#10;RG9jLnhtbFBLAQItABQABgAIAAAAIQC5+4h+3wAAAAkBAAAPAAAAAAAAAAAAAAAAAPMEAABkcnMv&#10;ZG93bnJldi54bWxQSwUGAAAAAAQABADzAAAA/wUAAAAA&#10;" o:allowoverlap="f" fillcolor="white [3201]" stroked="f" strokeweight=".5pt">
                <v:path arrowok="t"/>
                <v:textbox>
                  <w:txbxContent>
                    <w:p w:rsidR="0060782B" w:rsidRDefault="0060782B" w:rsidP="0060782B">
                      <w:pPr>
                        <w:ind w:right="60"/>
                        <w:rPr>
                          <w:rFonts w:asciiTheme="minorHAnsi" w:hAnsiTheme="minorHAnsi"/>
                          <w:sz w:val="20"/>
                          <w:szCs w:val="20"/>
                        </w:rPr>
                      </w:pPr>
                      <w:hyperlink w:anchor="TOC" w:history="1">
                        <w:r>
                          <w:rPr>
                            <w:rStyle w:val="Hyperlink"/>
                            <w:sz w:val="20"/>
                            <w:szCs w:val="20"/>
                          </w:rPr>
                          <w:t>Back</w:t>
                        </w:r>
                        <w:r>
                          <w:rPr>
                            <w:rStyle w:val="Hyperlink"/>
                            <w:sz w:val="20"/>
                            <w:szCs w:val="20"/>
                          </w:rPr>
                          <w:t xml:space="preserve"> </w:t>
                        </w:r>
                        <w:r>
                          <w:rPr>
                            <w:rStyle w:val="Hyperlink"/>
                            <w:sz w:val="20"/>
                            <w:szCs w:val="20"/>
                          </w:rPr>
                          <w:t>to TOC</w:t>
                        </w:r>
                      </w:hyperlink>
                    </w:p>
                  </w:txbxContent>
                </v:textbox>
                <w10:wrap anchorx="margin" anchory="margin"/>
                <w10:anchorlock/>
              </v:shape>
            </w:pict>
          </mc:Fallback>
        </mc:AlternateContent>
      </w:r>
      <w:r>
        <w:rPr>
          <w:rFonts w:ascii="Calibri" w:hAnsi="Calibri"/>
        </w:rPr>
        <w:t>that each converter being individually tested.</w:t>
      </w:r>
    </w:p>
    <w:p w:rsidR="009B2F9B" w:rsidRDefault="009B2F9B" w:rsidP="0081054E">
      <w:pPr>
        <w:pStyle w:val="NoSpacing"/>
        <w:spacing w:after="120"/>
        <w:ind w:left="360"/>
        <w:jc w:val="both"/>
        <w:rPr>
          <w:rFonts w:ascii="Calibri" w:hAnsi="Calibri"/>
        </w:rPr>
      </w:pPr>
      <w:r>
        <w:rPr>
          <w:rFonts w:ascii="Calibri" w:hAnsi="Calibri"/>
        </w:rPr>
        <w:lastRenderedPageBreak/>
        <w:t>Two states (Maine and New York) in the Ozone Transport Region (OTR) already require CARB Executive Orders for aftermarket catalytic converters sold in their respective states to be installed on CA LEV vehicles.</w:t>
      </w:r>
    </w:p>
    <w:p w:rsidR="009B2F9B" w:rsidRDefault="0025362E" w:rsidP="0025362E">
      <w:pPr>
        <w:pStyle w:val="Heading3"/>
        <w:rPr>
          <w:rFonts w:ascii="Calibri" w:eastAsia="Calibri" w:hAnsi="Calibri"/>
        </w:rPr>
      </w:pPr>
      <w:bookmarkStart w:id="407" w:name="_Toc461021014"/>
      <w:bookmarkStart w:id="408" w:name="_Toc461025678"/>
      <w:bookmarkStart w:id="409" w:name="_Toc461025883"/>
      <w:bookmarkStart w:id="410" w:name="_Toc461027157"/>
      <w:r>
        <w:rPr>
          <w:rFonts w:eastAsia="Calibri"/>
        </w:rPr>
        <w:t>3</w:t>
      </w:r>
      <w:r w:rsidR="009B2F9B">
        <w:rPr>
          <w:rFonts w:eastAsia="Calibri"/>
        </w:rPr>
        <w:t>.6.2</w:t>
      </w:r>
      <w:r w:rsidR="009B2F9B">
        <w:rPr>
          <w:rFonts w:eastAsia="Calibri"/>
        </w:rPr>
        <w:tab/>
      </w:r>
      <w:r>
        <w:rPr>
          <w:rFonts w:eastAsia="Calibri"/>
        </w:rPr>
        <w:tab/>
      </w:r>
      <w:r w:rsidR="009B2F9B">
        <w:rPr>
          <w:rFonts w:eastAsia="Calibri"/>
        </w:rPr>
        <w:t>The OTC Measure</w:t>
      </w:r>
      <w:bookmarkEnd w:id="407"/>
      <w:bookmarkEnd w:id="408"/>
      <w:bookmarkEnd w:id="409"/>
      <w:bookmarkEnd w:id="410"/>
    </w:p>
    <w:p w:rsidR="009B2F9B" w:rsidRDefault="009B2F9B" w:rsidP="0081054E">
      <w:pPr>
        <w:pStyle w:val="NoSpacing"/>
        <w:spacing w:after="120"/>
        <w:ind w:left="360"/>
        <w:jc w:val="both"/>
        <w:rPr>
          <w:rFonts w:ascii="Calibri" w:hAnsi="Calibri"/>
          <w:i/>
        </w:rPr>
      </w:pPr>
      <w:r>
        <w:rPr>
          <w:rFonts w:ascii="Calibri" w:hAnsi="Calibri"/>
        </w:rPr>
        <w:t xml:space="preserve">After adoption by a member state, the OTC model rule would apply to all sales of aftermarket catalytic converters in the state.  The measure would in no way impact the sale of OEM converters.  Only aftermarket catalytic converters meeting CARB performance standards are permitted to be sold and installed.  When a converter meets the performance standards CARB signs an Executive Order (EO) allowing for its sale.  The measure provides optional language for a state to allow used converters to be sold if they are compatible with, and installed on, an OBD II vehicle.  </w:t>
      </w:r>
    </w:p>
    <w:p w:rsidR="009B2F9B" w:rsidRDefault="0025362E" w:rsidP="0025362E">
      <w:pPr>
        <w:pStyle w:val="Heading3"/>
        <w:rPr>
          <w:rFonts w:ascii="Calibri" w:eastAsia="Calibri" w:hAnsi="Calibri"/>
        </w:rPr>
      </w:pPr>
      <w:bookmarkStart w:id="411" w:name="_Toc461021015"/>
      <w:bookmarkStart w:id="412" w:name="_Toc461025679"/>
      <w:bookmarkStart w:id="413" w:name="_Toc461025884"/>
      <w:bookmarkStart w:id="414" w:name="_Toc461027158"/>
      <w:r>
        <w:rPr>
          <w:rFonts w:eastAsia="Calibri"/>
        </w:rPr>
        <w:t>3</w:t>
      </w:r>
      <w:r w:rsidR="009B2F9B">
        <w:rPr>
          <w:rFonts w:eastAsia="Calibri"/>
        </w:rPr>
        <w:t>.6.3</w:t>
      </w:r>
      <w:r w:rsidR="009B2F9B">
        <w:rPr>
          <w:rFonts w:eastAsia="Calibri"/>
        </w:rPr>
        <w:tab/>
      </w:r>
      <w:r>
        <w:rPr>
          <w:rFonts w:eastAsia="Calibri"/>
        </w:rPr>
        <w:tab/>
      </w:r>
      <w:r w:rsidR="009B2F9B">
        <w:rPr>
          <w:rFonts w:eastAsia="Calibri"/>
        </w:rPr>
        <w:t>NO</w:t>
      </w:r>
      <w:r w:rsidR="009B2F9B">
        <w:rPr>
          <w:rFonts w:eastAsia="Calibri"/>
          <w:vertAlign w:val="subscript"/>
        </w:rPr>
        <w:t>X</w:t>
      </w:r>
      <w:r w:rsidR="009B2F9B">
        <w:rPr>
          <w:rFonts w:eastAsia="Calibri"/>
        </w:rPr>
        <w:t xml:space="preserve"> Emissions Reduction Benefit</w:t>
      </w:r>
      <w:bookmarkEnd w:id="411"/>
      <w:bookmarkEnd w:id="412"/>
      <w:bookmarkEnd w:id="413"/>
      <w:bookmarkEnd w:id="414"/>
    </w:p>
    <w:p w:rsidR="009B2F9B" w:rsidRDefault="009B2F9B" w:rsidP="0081054E">
      <w:pPr>
        <w:spacing w:after="120" w:line="240" w:lineRule="auto"/>
        <w:ind w:left="360"/>
        <w:jc w:val="both"/>
        <w:rPr>
          <w:rFonts w:eastAsia="Calibri" w:cs="Calibri"/>
        </w:rPr>
      </w:pPr>
      <w:r>
        <w:rPr>
          <w:rFonts w:cs="Calibri"/>
        </w:rPr>
        <w:t xml:space="preserve">Estimated emission benefits from the OTC’s recommended catalytic converter program were projected for 2015.  This year was chosen because it would reflect lead time until rule adoption.   </w:t>
      </w:r>
    </w:p>
    <w:p w:rsidR="009B2F9B" w:rsidRDefault="009B2F9B" w:rsidP="0081054E">
      <w:pPr>
        <w:spacing w:after="120" w:line="240" w:lineRule="auto"/>
        <w:ind w:left="360"/>
        <w:jc w:val="both"/>
        <w:rPr>
          <w:rFonts w:cs="Calibri"/>
        </w:rPr>
      </w:pPr>
      <w:r>
        <w:rPr>
          <w:rFonts w:cs="Calibri"/>
        </w:rPr>
        <w:t xml:space="preserve">Tailpipe tests conducted by the Manufacturers of Emissions Control Association (MECA) were used to determine the benefits of installing CARB converters in lieu of federal converters </w:t>
      </w:r>
      <w:r>
        <w:rPr>
          <w:rFonts w:cs="Calibri"/>
        </w:rPr>
        <w:fldChar w:fldCharType="begin"/>
      </w:r>
      <w:r>
        <w:rPr>
          <w:rFonts w:cs="Calibri"/>
        </w:rPr>
        <w:instrText xml:space="preserve"> ADDIN ZOTERO_ITEM CSL_CITATION {"citationID":"5AO11JFT","properties":{"formattedCitation":"(Manufacturers of Emissions Control Association 2013)","plainCitation":"(Manufacturers of Emissions Control Association 2013)"},"citationItems":[{"id":476,"uris":["http://zotero.org/groups/493296/items/8AXIBEXQ"],"uri":["http://zotero.org/groups/493296/items/8AXIBEXQ"],"itemData":{"type":"paper-conference","title":"Emission Performance of California and Federal Aftermarket TWC Converters","publisher-place":"Detroit, MI","event":"SAE 2013 World Congress &amp; Exhibition","event-place":"Detroit, MI","archive-place":"Detroit, MI","URL":"http://papers.sae.org/2013-01-1298/","author":[{"family":"Manufacturers of Emissions Control Association","given":"","isInstitution":1}],"issued":{"raw":"2013"},"accessed":{"raw":"2013-01-07"}}}],"schema":"https://github.com/citation-style-language/schema/raw/master/csl-citation.json"} </w:instrText>
      </w:r>
      <w:r>
        <w:rPr>
          <w:rFonts w:cs="Calibri"/>
        </w:rPr>
        <w:fldChar w:fldCharType="separate"/>
      </w:r>
      <w:r>
        <w:t>(Manufacturers of Emissions Control Association 2013)</w:t>
      </w:r>
      <w:r>
        <w:rPr>
          <w:rFonts w:cs="Calibri"/>
        </w:rPr>
        <w:fldChar w:fldCharType="end"/>
      </w:r>
      <w:r w:rsidR="00BE5463">
        <w:rPr>
          <w:rStyle w:val="FootnoteReference"/>
          <w:rFonts w:cs="Calibri"/>
        </w:rPr>
        <w:footnoteReference w:id="28"/>
      </w:r>
      <w:r>
        <w:rPr>
          <w:rFonts w:cs="Calibri"/>
        </w:rPr>
        <w:t>.  CARB and EPA catalytic converters were tested for three classes of light duty vehicles and two classes of light duty trucks in the study.  The light duty vehicle and light duty truck emission rates were averaged separately.  Different deterioration rates were observed in the study between 0 -25,000 miles and 25,000-50,000 miles so two sets of emission reductions were calculated.  We assumed that the difference in emissions from installing a CARB certified catalyst in lieu of an EPA certified catalyst would be the same across all vehicle make and model years.</w:t>
      </w:r>
    </w:p>
    <w:p w:rsidR="009B2F9B" w:rsidRDefault="009B2F9B" w:rsidP="0081054E">
      <w:pPr>
        <w:spacing w:after="120" w:line="240" w:lineRule="auto"/>
        <w:ind w:left="360"/>
        <w:jc w:val="both"/>
        <w:rPr>
          <w:rFonts w:cs="Calibri"/>
        </w:rPr>
      </w:pPr>
      <w:r>
        <w:rPr>
          <w:rFonts w:cs="Calibri"/>
        </w:rPr>
        <w:t>Linearly interpolated MOVES inputs for vehicle miles traveled and vehicle population were developed for each year from 2011-2015, for cars and trucks separately and for each state, except Pennsylvania and Virginia. These interpolations were based on 2007 and 2020 MOVES inputs.   2020 MOVES inputs were not available for NY so 2007 values were held across the entire time period.  Since only counties in Northern Virginia in the OTR were analyzed for Virginia, it was assumed that vehicle miles traveled to vehicle population were more similar to DC than to VA as a whole so DC’s ratios were used.</w:t>
      </w:r>
    </w:p>
    <w:p w:rsidR="009B2F9B" w:rsidRDefault="009B2F9B" w:rsidP="0081054E">
      <w:pPr>
        <w:spacing w:after="120" w:line="240" w:lineRule="auto"/>
        <w:ind w:left="360"/>
        <w:jc w:val="both"/>
        <w:rPr>
          <w:rFonts w:cs="Calibri"/>
        </w:rPr>
      </w:pPr>
      <w:r>
        <w:rPr>
          <w:rFonts w:cs="Calibri"/>
        </w:rPr>
        <w:t xml:space="preserve">To simplify this analysis several additional assumptions were made.  First, model years prior to 1981 were excluded from the analysis since it was assumed that older vehicles would be the most likely to be scrapped if the owner is facing a major repair.  Since several states have model year limits on testing, many of these vehicles would not have been tested anyway.  </w:t>
      </w:r>
      <w:r w:rsidR="00FC27E9">
        <w:rPr>
          <w:noProof/>
        </w:rPr>
        <mc:AlternateContent>
          <mc:Choice Requires="wps">
            <w:drawing>
              <wp:anchor distT="0" distB="0" distL="114300" distR="114300" simplePos="0" relativeHeight="251784192" behindDoc="0" locked="1" layoutInCell="1" allowOverlap="0" wp14:anchorId="37F0C09B" wp14:editId="2A19CA42">
                <wp:simplePos x="0" y="0"/>
                <wp:positionH relativeFrom="margin">
                  <wp:posOffset>2819400</wp:posOffset>
                </wp:positionH>
                <wp:positionV relativeFrom="bottomMargin">
                  <wp:posOffset>798830</wp:posOffset>
                </wp:positionV>
                <wp:extent cx="914400" cy="237490"/>
                <wp:effectExtent l="0" t="0" r="0" b="0"/>
                <wp:wrapNone/>
                <wp:docPr id="22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237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27E9" w:rsidRDefault="00FC27E9" w:rsidP="00FC27E9">
                            <w:pPr>
                              <w:ind w:right="60"/>
                              <w:rPr>
                                <w:rFonts w:asciiTheme="minorHAnsi" w:hAnsiTheme="minorHAnsi"/>
                                <w:sz w:val="20"/>
                                <w:szCs w:val="20"/>
                              </w:rPr>
                            </w:pPr>
                            <w:hyperlink w:anchor="TOC" w:history="1">
                              <w:r>
                                <w:rPr>
                                  <w:rStyle w:val="Hyperlink"/>
                                  <w:sz w:val="20"/>
                                  <w:szCs w:val="20"/>
                                </w:rPr>
                                <w:t xml:space="preserve">Back to </w:t>
                              </w:r>
                              <w:bookmarkStart w:id="415" w:name="_GoBack"/>
                              <w:r>
                                <w:rPr>
                                  <w:rStyle w:val="Hyperlink"/>
                                  <w:sz w:val="20"/>
                                  <w:szCs w:val="20"/>
                                </w:rPr>
                                <w:t>TOC</w:t>
                              </w:r>
                              <w:bookmarkEnd w:id="415"/>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0C09B" id="Text Box 229" o:spid="_x0000_s1079" type="#_x0000_t202" style="position:absolute;left:0;text-align:left;margin-left:222pt;margin-top:62.9pt;width:1in;height:18.7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IE4mQIAAK4FAAAOAAAAZHJzL2Uyb0RvYy54bWysVFFPGzEMfp+0/xDlfVxbCowTV9SBmCZV&#10;gAYTz2kuoRFJnCVp77pfj5O7K4XxwrSXOyf+bMf2Z5+dt0aTjfBBga3o+GBEibAcamUfK/rr/urL&#10;V0pCZLZmGqyo6FYEej77/OmscaWYwAp0LTxBJzaUjavoKkZXFkXgK2FYOAAnLColeMMiHv1jUXvW&#10;oHeji8lodFw04GvngYsQ8PayU9JZ9i+l4PFGyiAi0RXFt8X89fm7TN9idsbKR8/cSvH+GewfXmGY&#10;shh05+qSRUbWXv3lyijuIYCMBxxMAVIqLnIOmM149CabuxVzIueCxQluV6bw/9zy682tJ6qu6GRy&#10;SollBpt0L9pIvkFL0h1WqHGhROCdQ2hsUYGdztkGtwD+FBBS7GE6g4DoVJFWepP+mCtBQ2zCdlf4&#10;FIfj5el4Oh2hhqNqcngyPc2NKV6MnQ/xuwBDklBRj33ND2CbRYgpPCsHSIoVQKv6SmmdD4lL4kJ7&#10;smHIAh3HKSe0eIXSljQVPT48GmXHFpJ5h9M2uRGZTX24lG2XYJbiVouE0fankFjNnOc7sRnnwu7i&#10;Z3RCSQz1EcMe//Kqjxh3eaBFjgw27oyNsuC7vr4uWf00lEx2+L7focs7lSC2yzbT6Oh4YMwS6i0S&#10;xkM3dMHxK4XdW7AQb5nHKcOG4+aIN/iRGrD60EuUrMD/ee8+4ZH8qKWkwamtaPi9Zl5Qon9YHItM&#10;JBzzfJgenUwwht/XLPc1dm0uACkxxh3leBYTPupBlB7MAy6YeYqKKmY5xq5oHMSL2O0SXFBczOcZ&#10;hIPtWFzYO8eHOUncvG8fmHc9gSMy/xqG+WblGx532NQgC/N1BKkyyVOhu6r2DcClkJncL7C0dfbP&#10;GfWyZmfPAAAA//8DAFBLAwQUAAYACAAAACEAhCgp1uAAAAALAQAADwAAAGRycy9kb3ducmV2Lnht&#10;bEyPwU7DMBBE70j8g7VIXKrWaUirKI1TIUSl9tADgUtvbrwkEfE6st02/D3LCY47M5qdV24nO4gr&#10;+tA7UrBcJCCQGmd6ahV8vO/mOYgQNRk9OEIF3xhgW93flbow7kZveK1jK7iEQqEVdDGOhZSh6dDq&#10;sHAjEnufzlsd+fStNF7fuNwOMk2StbS6J/7Q6RFfOmy+6otVcAyn/ezk97tZHYw8IB5fD8uo1OPD&#10;9LwBEXGKf2H4nc/ToeJNZ3chE8SgIMsyZolspCtm4MQqz1k5s7J+SkFWpfzPUP0AAAD//wMAUEsB&#10;Ai0AFAAGAAgAAAAhALaDOJL+AAAA4QEAABMAAAAAAAAAAAAAAAAAAAAAAFtDb250ZW50X1R5cGVz&#10;XS54bWxQSwECLQAUAAYACAAAACEAOP0h/9YAAACUAQAACwAAAAAAAAAAAAAAAAAvAQAAX3JlbHMv&#10;LnJlbHNQSwECLQAUAAYACAAAACEArlCBOJkCAACuBQAADgAAAAAAAAAAAAAAAAAuAgAAZHJzL2Uy&#10;b0RvYy54bWxQSwECLQAUAAYACAAAACEAhCgp1uAAAAALAQAADwAAAAAAAAAAAAAAAADzBAAAZHJz&#10;L2Rvd25yZXYueG1sUEsFBgAAAAAEAAQA8wAAAAAGAAAAAA==&#10;" o:allowoverlap="f" fillcolor="white [3201]" stroked="f" strokeweight=".5pt">
                <v:path arrowok="t"/>
                <v:textbox>
                  <w:txbxContent>
                    <w:p w:rsidR="00FC27E9" w:rsidRDefault="00FC27E9" w:rsidP="00FC27E9">
                      <w:pPr>
                        <w:ind w:right="60"/>
                        <w:rPr>
                          <w:rFonts w:asciiTheme="minorHAnsi" w:hAnsiTheme="minorHAnsi"/>
                          <w:sz w:val="20"/>
                          <w:szCs w:val="20"/>
                        </w:rPr>
                      </w:pPr>
                      <w:hyperlink w:anchor="TOC" w:history="1">
                        <w:r>
                          <w:rPr>
                            <w:rStyle w:val="Hyperlink"/>
                            <w:sz w:val="20"/>
                            <w:szCs w:val="20"/>
                          </w:rPr>
                          <w:t xml:space="preserve">Back to </w:t>
                        </w:r>
                        <w:bookmarkStart w:id="416" w:name="_GoBack"/>
                        <w:r>
                          <w:rPr>
                            <w:rStyle w:val="Hyperlink"/>
                            <w:sz w:val="20"/>
                            <w:szCs w:val="20"/>
                          </w:rPr>
                          <w:t>TOC</w:t>
                        </w:r>
                        <w:bookmarkEnd w:id="416"/>
                      </w:hyperlink>
                    </w:p>
                  </w:txbxContent>
                </v:textbox>
                <w10:wrap anchorx="margin" anchory="margin"/>
                <w10:anchorlock/>
              </v:shape>
            </w:pict>
          </mc:Fallback>
        </mc:AlternateContent>
      </w:r>
      <w:r>
        <w:rPr>
          <w:rFonts w:cs="Calibri"/>
        </w:rPr>
        <w:t xml:space="preserve">Also model years more recent than 2011 were excluded since newer vehicles would mostly likely be under the federal warranty (8 years or 80,000 miles) and thus owners would replace their catalytic converters with OEM converters.  The mileage accumulation calculation was </w:t>
      </w:r>
      <w:r>
        <w:rPr>
          <w:rFonts w:cs="Calibri"/>
        </w:rPr>
        <w:lastRenderedPageBreak/>
        <w:t xml:space="preserve">conducted by multiplying the average annual VMT (for cars 10,600 miles, for trucks 14,700 miles), separately for cars and trucks, by the number of years </w:t>
      </w:r>
      <w:r>
        <w:rPr>
          <w:rFonts w:cs="Calibri"/>
        </w:rPr>
        <w:fldChar w:fldCharType="begin"/>
      </w:r>
      <w:r>
        <w:rPr>
          <w:rFonts w:cs="Calibri"/>
        </w:rPr>
        <w:instrText xml:space="preserve"> ADDIN ZOTERO_ITEM CSL_CITATION {"citationID":"maLSFBwj","properties":{"formattedCitation":"(Federal Highway Administration 2010)","plainCitation":"(Federal Highway Administration 2010)"},"citationItems":[{"id":477,"uris":["http://zotero.org/groups/493296/items/P7IQF8H3"],"uri":["http://zotero.org/groups/493296/items/P7IQF8H3"],"itemData":{"type":"webpage","title":"Annual Vehicle Distance Traveled in Miles and Related Data - 2010 By Highway Category and Vehicle Type","container-title":"Annual Vehicle Distance Traveled in Miles and Related Data - 2010 By Highway Category and Vehicle Type","URL":"http://www.fhwa.dot.gov/policyinformation/statistics/2010/vm1.cfm","author":[{"family":"Federal Highway Administration","given":"","isInstitution":1}],"issued":{"raw":"2010"},"accessed":{"raw":"2012-08-14"}}}],"schema":"https://github.com/citation-style-language/schema/raw/master/csl-citation.json"} </w:instrText>
      </w:r>
      <w:r>
        <w:rPr>
          <w:rFonts w:cs="Calibri"/>
        </w:rPr>
        <w:fldChar w:fldCharType="separate"/>
      </w:r>
      <w:r>
        <w:t>(Federal Highway Administration 2010)</w:t>
      </w:r>
      <w:r>
        <w:rPr>
          <w:rFonts w:cs="Calibri"/>
        </w:rPr>
        <w:fldChar w:fldCharType="end"/>
      </w:r>
      <w:r w:rsidR="00BE5463">
        <w:rPr>
          <w:rStyle w:val="FootnoteReference"/>
          <w:rFonts w:cs="Calibri"/>
        </w:rPr>
        <w:footnoteReference w:id="29"/>
      </w:r>
      <w:r>
        <w:rPr>
          <w:rFonts w:cs="Calibri"/>
        </w:rPr>
        <w:t xml:space="preserve">.  In the case that the threshold was crossed midway through the year, it was assumed that accumulation was at a steady daily rate so the results were multiplied by the ratio of miles traveled out of the warranty over average annual VMT.  </w:t>
      </w:r>
    </w:p>
    <w:p w:rsidR="009B2F9B" w:rsidRDefault="009B2F9B" w:rsidP="0081054E">
      <w:pPr>
        <w:spacing w:after="120" w:line="240" w:lineRule="auto"/>
        <w:ind w:left="360"/>
        <w:jc w:val="both"/>
        <w:rPr>
          <w:rFonts w:cs="Calibri"/>
        </w:rPr>
      </w:pPr>
      <w:r>
        <w:rPr>
          <w:rFonts w:cs="Calibri"/>
        </w:rPr>
        <w:t xml:space="preserve">Secondly, it was assumed that vehicle owners that installed converters would not scrap their cars before the end of the analysis period.  </w:t>
      </w:r>
    </w:p>
    <w:p w:rsidR="009B2F9B" w:rsidRDefault="009B2F9B" w:rsidP="0081054E">
      <w:pPr>
        <w:spacing w:after="120" w:line="240" w:lineRule="auto"/>
        <w:ind w:left="360"/>
        <w:jc w:val="both"/>
        <w:rPr>
          <w:rFonts w:cs="Calibri"/>
        </w:rPr>
      </w:pPr>
      <w:r>
        <w:rPr>
          <w:rFonts w:cs="Calibri"/>
        </w:rPr>
        <w:t>Thirdly, we assumed that converters would not fail while still under their warranty period.  Since EPA certified catalysts only have a 25,000 mile warranty; the replacements would begin to go out of warranty halfway through the 2011-2015 period (for those that were replaced in 2011).  Since the converter still could function for longer we provided two sets of estimates, one assuming that the EPA converters were replaced after two and a half years and one assuming they lasted a full five years.</w:t>
      </w:r>
    </w:p>
    <w:p w:rsidR="009B2F9B" w:rsidRDefault="009B2F9B" w:rsidP="0081054E">
      <w:pPr>
        <w:spacing w:after="120" w:line="240" w:lineRule="auto"/>
        <w:ind w:left="360"/>
        <w:jc w:val="both"/>
        <w:rPr>
          <w:rFonts w:cs="Calibri"/>
        </w:rPr>
      </w:pPr>
      <w:r>
        <w:rPr>
          <w:rFonts w:cs="Calibri"/>
        </w:rPr>
        <w:t>Finally, it was assumed that the age distributions from 2011-2015 would remain consistent and could be based on the 2007 age distributions, which were the best available data.  Given that the prolonged economic downturn of 2008 that likely has resulted in depressed fleet turn over in subsequent years this analysis will show less of an emission reductions benefit since the vehicles fleet on the road currently is older and dirtier than our estimates.  Though the Car Allowance Rebate System (“Cash for Clunkers”) program of 2009 would have had a slight counteracting effect it should be minor.</w:t>
      </w:r>
    </w:p>
    <w:p w:rsidR="009B2F9B" w:rsidRDefault="009B2F9B" w:rsidP="0081054E">
      <w:pPr>
        <w:spacing w:after="120" w:line="240" w:lineRule="auto"/>
        <w:ind w:left="360"/>
        <w:jc w:val="both"/>
        <w:rPr>
          <w:rFonts w:cs="Calibri"/>
        </w:rPr>
      </w:pPr>
      <w:r>
        <w:rPr>
          <w:rFonts w:cs="Calibri"/>
        </w:rPr>
        <w:t xml:space="preserve">One uncertainty was how many people would purchase an OEM catalyst (either new or used since both are allowed in OTC’s proposed program).  OTC assumed that all failures that occurred under the federal warranty (cars that are less than 8 years old or have driven less than 80,000 miles) would be addressed by replacing the catalyst through the dealer using a new OEM catalyst, and thus would not fall under the universe impacted by this program.  </w:t>
      </w:r>
    </w:p>
    <w:p w:rsidR="009B2F9B" w:rsidRDefault="009B2F9B" w:rsidP="0081054E">
      <w:pPr>
        <w:spacing w:after="120" w:line="240" w:lineRule="auto"/>
        <w:ind w:left="360"/>
        <w:jc w:val="both"/>
        <w:rPr>
          <w:rFonts w:cs="Calibri"/>
        </w:rPr>
      </w:pPr>
      <w:r>
        <w:rPr>
          <w:rFonts w:cs="Calibri"/>
        </w:rPr>
        <w:t xml:space="preserve">When considering vehicles that are no longer under warranty, owners have the options of purchasing a new or used OEM or an aftermarket catalyst.  We assumed that the vast majority of owners would replace their catalysts with aftermarket converters if their vehicle was no longer under warranty, with the exception of people with specialty vehicles that have a very low market share for which aftermarket converters are not manufactured, as CARB assumed in their analysis </w:t>
      </w:r>
      <w:r>
        <w:rPr>
          <w:rFonts w:cs="Calibri"/>
        </w:rPr>
        <w:fldChar w:fldCharType="begin"/>
      </w:r>
      <w:r>
        <w:rPr>
          <w:rFonts w:cs="Calibri"/>
        </w:rPr>
        <w:instrText xml:space="preserve"> ADDIN ZOTERO_ITEM CSL_CITATION {"citationID":"supgGuCZ","properties":{"formattedCitation":"(California Air Resources Board 7 September 2007)","plainCitation":"(California Air Resources Board 7 September 2007)"},"citationItems":[{"id":479,"uris":["http://zotero.org/groups/493296/items/TU5P6DRK"],"uri":["http://zotero.org/groups/493296/items/TU5P6DRK"],"itemData":{"type":"report","title":"Public Hearing to Consider Amendments to Regulations Regarding New. Aftermarket Catalytic Converters and Used Catalytic Converters Offered for Sale and Use in California","URL":"http://www.arb.ca.gov/regact/2007/amcat07/isor.pdf","note":"mlzsync1:0053{\"type\":\"report\",\"extrafields\":{\"jurisdiction\":\"us\"}}","author":[{"family":"California Air Resources Board","given":"","isInstitution":1}],"issued":{"raw":"September 7, 2007"},"accessed":{"raw":"2012-07-30"}}}],"schema":"https://github.com/citation-style-language/schema/raw/master/csl-citation.json"} </w:instrText>
      </w:r>
      <w:r>
        <w:rPr>
          <w:rFonts w:cs="Calibri"/>
        </w:rPr>
        <w:fldChar w:fldCharType="separate"/>
      </w:r>
      <w:r>
        <w:t>(California Air Resources Board 7 September 2007)</w:t>
      </w:r>
      <w:r>
        <w:rPr>
          <w:rFonts w:cs="Calibri"/>
        </w:rPr>
        <w:fldChar w:fldCharType="end"/>
      </w:r>
      <w:r w:rsidR="00BE5463">
        <w:rPr>
          <w:rStyle w:val="FootnoteReference"/>
          <w:rFonts w:cs="Calibri"/>
        </w:rPr>
        <w:footnoteReference w:id="30"/>
      </w:r>
      <w:r>
        <w:rPr>
          <w:rFonts w:cs="Calibri"/>
        </w:rPr>
        <w:t xml:space="preserve">.  We also assumed that people would opt for aftermarket converters over used converters given the risk factor associated with purchasing a used converter with no warranty.  Additionally, for the few </w:t>
      </w:r>
      <w:r w:rsidR="00FC27E9">
        <w:rPr>
          <w:noProof/>
        </w:rPr>
        <mc:AlternateContent>
          <mc:Choice Requires="wps">
            <w:drawing>
              <wp:anchor distT="0" distB="0" distL="114300" distR="114300" simplePos="0" relativeHeight="251778048" behindDoc="0" locked="1" layoutInCell="1" allowOverlap="0" wp14:anchorId="37F0C09B" wp14:editId="2A19CA42">
                <wp:simplePos x="0" y="0"/>
                <wp:positionH relativeFrom="margin">
                  <wp:posOffset>2628900</wp:posOffset>
                </wp:positionH>
                <wp:positionV relativeFrom="bottomMargin">
                  <wp:posOffset>1349375</wp:posOffset>
                </wp:positionV>
                <wp:extent cx="914400" cy="237490"/>
                <wp:effectExtent l="0" t="0" r="0" b="0"/>
                <wp:wrapNone/>
                <wp:docPr id="22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237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27E9" w:rsidRDefault="00FC27E9" w:rsidP="00FC27E9">
                            <w:pPr>
                              <w:ind w:right="60"/>
                              <w:rPr>
                                <w:rFonts w:asciiTheme="minorHAnsi" w:hAnsiTheme="minorHAnsi"/>
                                <w:sz w:val="20"/>
                                <w:szCs w:val="20"/>
                              </w:rPr>
                            </w:pPr>
                            <w:hyperlink w:anchor="TOC" w:history="1">
                              <w:r>
                                <w:rPr>
                                  <w:rStyle w:val="Hyperlink"/>
                                  <w:sz w:val="20"/>
                                  <w:szCs w:val="20"/>
                                </w:rPr>
                                <w:t>Back to TOC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0C09B" id="Text Box 226" o:spid="_x0000_s1080" type="#_x0000_t202" style="position:absolute;left:0;text-align:left;margin-left:207pt;margin-top:106.25pt;width:1in;height:18.7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nxlmQIAAK4FAAAOAAAAZHJzL2Uyb0RvYy54bWysVFFPGzEMfp+0/xDlfVxbCowTV9SBmCZV&#10;gAYTz2kuoRFJnCVp77pfj5O7K4XxwrSXOyf+bMf2Z5+dt0aTjfBBga3o+GBEibAcamUfK/rr/urL&#10;V0pCZLZmGqyo6FYEej77/OmscaWYwAp0LTxBJzaUjavoKkZXFkXgK2FYOAAnLColeMMiHv1jUXvW&#10;oHeji8lodFw04GvngYsQ8PayU9JZ9i+l4PFGyiAi0RXFt8X89fm7TN9idsbKR8/cSvH+GewfXmGY&#10;shh05+qSRUbWXv3lyijuIYCMBxxMAVIqLnIOmM149CabuxVzIueCxQluV6bw/9zy682tJ6qu6GRy&#10;TIllBpt0L9pIvkFL0h1WqHGhROCdQ2hsUYGdztkGtwD+FBBS7GE6g4DoVJFWepP+mCtBQ2zCdlf4&#10;FIfj5el4Oh2hhqNqcngyPc2NKV6MnQ/xuwBDklBRj33ND2CbRYgpPCsHSIoVQKv6SmmdD4lL4kJ7&#10;smHIAh3HKSe0eIXSljQVPT48GmXHFpJ5h9M2uRGZTX24lG2XYJbiVouE0fankFjNnOc7sRnnwu7i&#10;Z3RCSQz1EcMe//Kqjxh3eaBFjgw27oyNsuC7vr4uWf00lEx2+L7focs7lSC2yzbT6OhwYMwS6i0S&#10;xkM3dMHxK4XdW7AQb5nHKcOG4+aIN/iRGrD60EuUrMD/ee8+4ZH8qKWkwamtaPi9Zl5Qon9YHItM&#10;JBzzfJgenUwwht/XLPc1dm0uACkxxh3leBYTPupBlB7MAy6YeYqKKmY5xq5oHMSL2O0SXFBczOcZ&#10;hIPtWFzYO8eHOUncvG8fmHc9gSMy/xqG+WblGx532NQgC/N1BKkyyVOhu6r2DcClkJncL7C0dfbP&#10;GfWyZmfPAAAA//8DAFBLAwQUAAYACAAAACEAryzuFeEAAAALAQAADwAAAGRycy9kb3ducmV2Lnht&#10;bEyPwU7DMBBE70j8g7VIXCrqJEpQG+JUCFGpPfRA4NKbGy9JRLyObLcNf89yguPOjmbeVJvZjuKC&#10;PgyOFKTLBARS68xAnYKP9+3DCkSImoweHaGCbwywqW9vKl0ad6U3vDSxExxCodQK+hinUsrQ9mh1&#10;WLoJiX+fzlsd+fSdNF5fOdyOMkuSR2n1QNzQ6wlfemy/mrNVcAjH3eLod9tFE4zcIx5e92lU6v5u&#10;fn4CEXGOf2b4xWd0qJnp5M5kghgV5GnOW6KCLM0KEOwoihUrJ1by9RpkXcn/G+ofAAAA//8DAFBL&#10;AQItABQABgAIAAAAIQC2gziS/gAAAOEBAAATAAAAAAAAAAAAAAAAAAAAAABbQ29udGVudF9UeXBl&#10;c10ueG1sUEsBAi0AFAAGAAgAAAAhADj9If/WAAAAlAEAAAsAAAAAAAAAAAAAAAAALwEAAF9yZWxz&#10;Ly5yZWxzUEsBAi0AFAAGAAgAAAAhAHX2fGWZAgAArgUAAA4AAAAAAAAAAAAAAAAALgIAAGRycy9l&#10;Mm9Eb2MueG1sUEsBAi0AFAAGAAgAAAAhAK8s7hXhAAAACwEAAA8AAAAAAAAAAAAAAAAA8wQAAGRy&#10;cy9kb3ducmV2LnhtbFBLBQYAAAAABAAEAPMAAAABBgAAAAA=&#10;" o:allowoverlap="f" fillcolor="white [3201]" stroked="f" strokeweight=".5pt">
                <v:path arrowok="t"/>
                <v:textbox>
                  <w:txbxContent>
                    <w:p w:rsidR="00FC27E9" w:rsidRDefault="00FC27E9" w:rsidP="00FC27E9">
                      <w:pPr>
                        <w:ind w:right="60"/>
                        <w:rPr>
                          <w:rFonts w:asciiTheme="minorHAnsi" w:hAnsiTheme="minorHAnsi"/>
                          <w:sz w:val="20"/>
                          <w:szCs w:val="20"/>
                        </w:rPr>
                      </w:pPr>
                      <w:hyperlink w:anchor="TOC" w:history="1">
                        <w:r>
                          <w:rPr>
                            <w:rStyle w:val="Hyperlink"/>
                            <w:sz w:val="20"/>
                            <w:szCs w:val="20"/>
                          </w:rPr>
                          <w:t>Back to TOC</w:t>
                        </w:r>
                      </w:hyperlink>
                    </w:p>
                  </w:txbxContent>
                </v:textbox>
                <w10:wrap anchorx="margin" anchory="margin"/>
                <w10:anchorlock/>
              </v:shape>
            </w:pict>
          </mc:Fallback>
        </mc:AlternateContent>
      </w:r>
      <w:r>
        <w:rPr>
          <w:rFonts w:cs="Calibri"/>
        </w:rPr>
        <w:t xml:space="preserve">instances where vehicle owners would purchase a used converter, the converter would still </w:t>
      </w:r>
      <w:r>
        <w:rPr>
          <w:rFonts w:cs="Calibri"/>
        </w:rPr>
        <w:lastRenderedPageBreak/>
        <w:t xml:space="preserve">have to pass regular emission tests and we assume would still result in emission reductions over a failing converter.  </w:t>
      </w:r>
    </w:p>
    <w:p w:rsidR="009B2F9B" w:rsidRDefault="009B2F9B" w:rsidP="0081054E">
      <w:pPr>
        <w:spacing w:after="120" w:line="240" w:lineRule="auto"/>
        <w:ind w:left="360"/>
        <w:jc w:val="both"/>
      </w:pPr>
      <w:r>
        <w:rPr>
          <w:rFonts w:cs="Calibri"/>
        </w:rPr>
        <w:t xml:space="preserve">An additional level of uncertainty that is introduced for the emission estimates involves potential regulations affecting vehicle emissions that have not yet been adopted.  Some examples of these are state adoption of CARB ZEV provisions, EPA promulgation of Tier 3, or state adoption of “boutique” fuels.  We have chosen to only consider on-the-book regulations that would affect the vehicle fleet in the OTR for 2015 in this analysis.  </w:t>
      </w:r>
    </w:p>
    <w:p w:rsidR="007C0785" w:rsidRPr="007C0785" w:rsidRDefault="007C0785" w:rsidP="00FD75BF">
      <w:pPr>
        <w:pStyle w:val="Caption"/>
        <w:keepNext/>
        <w:spacing w:after="120"/>
        <w:rPr>
          <w:rFonts w:asciiTheme="minorHAnsi" w:hAnsiTheme="minorHAnsi"/>
          <w:sz w:val="22"/>
          <w:szCs w:val="22"/>
        </w:rPr>
      </w:pPr>
      <w:bookmarkStart w:id="417" w:name="_Toc461106824"/>
      <w:r w:rsidRPr="007C0785">
        <w:rPr>
          <w:rFonts w:asciiTheme="minorHAnsi" w:hAnsiTheme="minorHAnsi"/>
          <w:sz w:val="22"/>
          <w:szCs w:val="22"/>
        </w:rPr>
        <w:t>Table 3-18</w:t>
      </w:r>
      <w:r w:rsidR="00FD75BF">
        <w:rPr>
          <w:rFonts w:asciiTheme="minorHAnsi" w:hAnsiTheme="minorHAnsi"/>
          <w:sz w:val="22"/>
          <w:szCs w:val="22"/>
        </w:rPr>
        <w:tab/>
      </w:r>
      <w:r w:rsidRPr="007C0785">
        <w:rPr>
          <w:rFonts w:asciiTheme="minorHAnsi" w:hAnsiTheme="minorHAnsi"/>
          <w:sz w:val="22"/>
          <w:szCs w:val="22"/>
        </w:rPr>
        <w:t>NO</w:t>
      </w:r>
      <w:r>
        <w:rPr>
          <w:rFonts w:asciiTheme="minorHAnsi" w:hAnsiTheme="minorHAnsi"/>
          <w:sz w:val="22"/>
          <w:szCs w:val="22"/>
        </w:rPr>
        <w:t>x</w:t>
      </w:r>
      <w:r w:rsidRPr="007C0785">
        <w:rPr>
          <w:rFonts w:asciiTheme="minorHAnsi" w:hAnsiTheme="minorHAnsi"/>
          <w:sz w:val="22"/>
          <w:szCs w:val="22"/>
        </w:rPr>
        <w:t xml:space="preserve"> Emission Reduction Estimates from an updated Aftermarket Catalytic Converter Program in the OTR in 2015</w:t>
      </w:r>
      <w:bookmarkEnd w:id="417"/>
    </w:p>
    <w:tbl>
      <w:tblPr>
        <w:tblpPr w:leftFromText="180" w:rightFromText="180" w:vertAnchor="text" w:tblpXSpec="center" w:tblpY="1"/>
        <w:tblOverlap w:val="never"/>
        <w:tblW w:w="5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1374"/>
        <w:gridCol w:w="1420"/>
      </w:tblGrid>
      <w:tr w:rsidR="009B2F9B" w:rsidTr="00A475FE">
        <w:trPr>
          <w:trHeight w:val="350"/>
        </w:trPr>
        <w:tc>
          <w:tcPr>
            <w:tcW w:w="3081" w:type="dxa"/>
            <w:tcBorders>
              <w:top w:val="single" w:sz="4" w:space="0" w:color="auto"/>
              <w:left w:val="single" w:sz="4" w:space="0" w:color="auto"/>
              <w:bottom w:val="single" w:sz="4" w:space="0" w:color="auto"/>
              <w:right w:val="single" w:sz="4" w:space="0" w:color="auto"/>
            </w:tcBorders>
            <w:vAlign w:val="center"/>
          </w:tcPr>
          <w:p w:rsidR="009B2F9B" w:rsidRDefault="009B2F9B" w:rsidP="0081054E">
            <w:pPr>
              <w:spacing w:line="240" w:lineRule="auto"/>
              <w:rPr>
                <w:rFonts w:eastAsia="Times New Roman" w:cs="Calibri"/>
                <w:b/>
                <w:bCs/>
                <w:color w:val="000000"/>
                <w:sz w:val="20"/>
                <w:szCs w:val="20"/>
              </w:rPr>
            </w:pPr>
          </w:p>
        </w:tc>
        <w:tc>
          <w:tcPr>
            <w:tcW w:w="2794" w:type="dxa"/>
            <w:gridSpan w:val="2"/>
            <w:tcBorders>
              <w:top w:val="single" w:sz="4" w:space="0" w:color="auto"/>
              <w:left w:val="single" w:sz="4" w:space="0" w:color="auto"/>
              <w:bottom w:val="single" w:sz="4" w:space="0" w:color="auto"/>
              <w:right w:val="single" w:sz="4" w:space="0" w:color="auto"/>
            </w:tcBorders>
            <w:vAlign w:val="center"/>
            <w:hideMark/>
          </w:tcPr>
          <w:p w:rsidR="009B2F9B" w:rsidRDefault="009B2F9B" w:rsidP="0081054E">
            <w:pPr>
              <w:spacing w:line="240" w:lineRule="auto"/>
              <w:rPr>
                <w:rFonts w:eastAsia="Times New Roman" w:cs="Calibri"/>
                <w:b/>
                <w:bCs/>
                <w:color w:val="000000"/>
                <w:sz w:val="20"/>
                <w:szCs w:val="20"/>
              </w:rPr>
            </w:pPr>
            <w:r>
              <w:rPr>
                <w:rFonts w:eastAsia="Times New Roman" w:cs="Calibri"/>
                <w:b/>
                <w:bCs/>
                <w:color w:val="000000"/>
                <w:sz w:val="20"/>
                <w:szCs w:val="20"/>
              </w:rPr>
              <w:t>Range of Reductions in NO</w:t>
            </w:r>
            <w:r>
              <w:rPr>
                <w:rFonts w:eastAsia="Times New Roman" w:cs="Calibri"/>
                <w:b/>
                <w:bCs/>
                <w:color w:val="000000"/>
                <w:sz w:val="20"/>
                <w:szCs w:val="20"/>
                <w:vertAlign w:val="subscript"/>
              </w:rPr>
              <w:t>X</w:t>
            </w:r>
          </w:p>
        </w:tc>
      </w:tr>
      <w:tr w:rsidR="009B2F9B" w:rsidTr="00A475FE">
        <w:trPr>
          <w:trHeight w:val="300"/>
        </w:trPr>
        <w:tc>
          <w:tcPr>
            <w:tcW w:w="3081" w:type="dxa"/>
            <w:tcBorders>
              <w:top w:val="single" w:sz="4" w:space="0" w:color="auto"/>
              <w:left w:val="single" w:sz="4" w:space="0" w:color="auto"/>
              <w:bottom w:val="single" w:sz="4" w:space="0" w:color="auto"/>
              <w:right w:val="single" w:sz="4" w:space="0" w:color="auto"/>
            </w:tcBorders>
            <w:hideMark/>
          </w:tcPr>
          <w:p w:rsidR="009B2F9B" w:rsidRDefault="009B2F9B" w:rsidP="0081054E">
            <w:pPr>
              <w:spacing w:line="240" w:lineRule="auto"/>
              <w:rPr>
                <w:rFonts w:eastAsia="Times New Roman" w:cs="Calibri"/>
                <w:color w:val="000000"/>
                <w:sz w:val="20"/>
                <w:szCs w:val="20"/>
              </w:rPr>
            </w:pPr>
            <w:r>
              <w:rPr>
                <w:rFonts w:eastAsia="Times New Roman" w:cs="Calibri"/>
                <w:color w:val="000000"/>
                <w:sz w:val="20"/>
                <w:szCs w:val="20"/>
              </w:rPr>
              <w:t>Annual Reductions (tons per year)</w:t>
            </w:r>
          </w:p>
        </w:tc>
        <w:tc>
          <w:tcPr>
            <w:tcW w:w="1374" w:type="dxa"/>
            <w:tcBorders>
              <w:top w:val="single" w:sz="4" w:space="0" w:color="auto"/>
              <w:left w:val="single" w:sz="4" w:space="0" w:color="auto"/>
              <w:bottom w:val="single" w:sz="4" w:space="0" w:color="auto"/>
              <w:right w:val="single" w:sz="4" w:space="0" w:color="auto"/>
            </w:tcBorders>
            <w:hideMark/>
          </w:tcPr>
          <w:p w:rsidR="009B2F9B" w:rsidRDefault="009B2F9B" w:rsidP="0081054E">
            <w:pPr>
              <w:spacing w:line="240" w:lineRule="auto"/>
              <w:rPr>
                <w:rFonts w:eastAsia="Times New Roman" w:cs="Calibri"/>
                <w:color w:val="000000"/>
                <w:sz w:val="20"/>
                <w:szCs w:val="20"/>
              </w:rPr>
            </w:pPr>
            <w:r>
              <w:rPr>
                <w:rFonts w:eastAsia="Times New Roman" w:cs="Calibri"/>
                <w:color w:val="000000"/>
                <w:sz w:val="20"/>
                <w:szCs w:val="20"/>
              </w:rPr>
              <w:t>7,100</w:t>
            </w:r>
          </w:p>
        </w:tc>
        <w:tc>
          <w:tcPr>
            <w:tcW w:w="1420" w:type="dxa"/>
            <w:tcBorders>
              <w:top w:val="single" w:sz="4" w:space="0" w:color="auto"/>
              <w:left w:val="single" w:sz="4" w:space="0" w:color="auto"/>
              <w:bottom w:val="single" w:sz="4" w:space="0" w:color="auto"/>
              <w:right w:val="single" w:sz="4" w:space="0" w:color="auto"/>
            </w:tcBorders>
            <w:hideMark/>
          </w:tcPr>
          <w:p w:rsidR="009B2F9B" w:rsidRDefault="009B2F9B" w:rsidP="0081054E">
            <w:pPr>
              <w:spacing w:line="240" w:lineRule="auto"/>
              <w:rPr>
                <w:rFonts w:eastAsia="Times New Roman" w:cs="Calibri"/>
                <w:color w:val="000000"/>
                <w:sz w:val="20"/>
                <w:szCs w:val="20"/>
              </w:rPr>
            </w:pPr>
            <w:r>
              <w:rPr>
                <w:rFonts w:eastAsia="Times New Roman" w:cs="Calibri"/>
                <w:color w:val="000000"/>
                <w:sz w:val="20"/>
                <w:szCs w:val="20"/>
              </w:rPr>
              <w:t>10,000</w:t>
            </w:r>
          </w:p>
        </w:tc>
      </w:tr>
      <w:tr w:rsidR="009B2F9B" w:rsidTr="00A475FE">
        <w:trPr>
          <w:trHeight w:val="300"/>
        </w:trPr>
        <w:tc>
          <w:tcPr>
            <w:tcW w:w="3081" w:type="dxa"/>
            <w:tcBorders>
              <w:top w:val="single" w:sz="4" w:space="0" w:color="auto"/>
              <w:left w:val="single" w:sz="4" w:space="0" w:color="auto"/>
              <w:bottom w:val="single" w:sz="4" w:space="0" w:color="auto"/>
              <w:right w:val="single" w:sz="4" w:space="0" w:color="auto"/>
            </w:tcBorders>
            <w:hideMark/>
          </w:tcPr>
          <w:p w:rsidR="009B2F9B" w:rsidRDefault="009B2F9B" w:rsidP="0081054E">
            <w:pPr>
              <w:spacing w:line="240" w:lineRule="auto"/>
              <w:rPr>
                <w:rFonts w:eastAsia="Times New Roman" w:cs="Calibri"/>
                <w:color w:val="000000"/>
                <w:sz w:val="20"/>
                <w:szCs w:val="20"/>
              </w:rPr>
            </w:pPr>
            <w:r>
              <w:rPr>
                <w:rFonts w:eastAsia="Times New Roman" w:cs="Calibri"/>
                <w:color w:val="000000"/>
                <w:sz w:val="20"/>
                <w:szCs w:val="20"/>
              </w:rPr>
              <w:t>Daily Reductions (tons per day)</w:t>
            </w:r>
          </w:p>
        </w:tc>
        <w:tc>
          <w:tcPr>
            <w:tcW w:w="1374" w:type="dxa"/>
            <w:tcBorders>
              <w:top w:val="single" w:sz="4" w:space="0" w:color="auto"/>
              <w:left w:val="single" w:sz="4" w:space="0" w:color="auto"/>
              <w:bottom w:val="single" w:sz="4" w:space="0" w:color="auto"/>
              <w:right w:val="single" w:sz="4" w:space="0" w:color="auto"/>
            </w:tcBorders>
            <w:hideMark/>
          </w:tcPr>
          <w:p w:rsidR="009B2F9B" w:rsidRDefault="009B2F9B" w:rsidP="0081054E">
            <w:pPr>
              <w:spacing w:line="240" w:lineRule="auto"/>
              <w:rPr>
                <w:rFonts w:eastAsia="Times New Roman" w:cs="Calibri"/>
                <w:color w:val="000000"/>
                <w:sz w:val="20"/>
                <w:szCs w:val="20"/>
              </w:rPr>
            </w:pPr>
            <w:r>
              <w:rPr>
                <w:rFonts w:eastAsia="Times New Roman" w:cs="Calibri"/>
                <w:color w:val="000000"/>
                <w:sz w:val="20"/>
                <w:szCs w:val="20"/>
              </w:rPr>
              <w:t>20</w:t>
            </w:r>
          </w:p>
        </w:tc>
        <w:tc>
          <w:tcPr>
            <w:tcW w:w="1420" w:type="dxa"/>
            <w:tcBorders>
              <w:top w:val="single" w:sz="4" w:space="0" w:color="auto"/>
              <w:left w:val="single" w:sz="4" w:space="0" w:color="auto"/>
              <w:bottom w:val="single" w:sz="4" w:space="0" w:color="auto"/>
              <w:right w:val="single" w:sz="4" w:space="0" w:color="auto"/>
            </w:tcBorders>
            <w:hideMark/>
          </w:tcPr>
          <w:p w:rsidR="009B2F9B" w:rsidRDefault="009B2F9B" w:rsidP="0081054E">
            <w:pPr>
              <w:spacing w:line="240" w:lineRule="auto"/>
              <w:rPr>
                <w:rFonts w:eastAsia="Times New Roman" w:cs="Calibri"/>
                <w:color w:val="000000"/>
                <w:sz w:val="20"/>
                <w:szCs w:val="20"/>
              </w:rPr>
            </w:pPr>
            <w:r>
              <w:rPr>
                <w:rFonts w:eastAsia="Times New Roman" w:cs="Calibri"/>
                <w:color w:val="000000"/>
                <w:sz w:val="20"/>
                <w:szCs w:val="20"/>
              </w:rPr>
              <w:t>28</w:t>
            </w:r>
          </w:p>
        </w:tc>
      </w:tr>
    </w:tbl>
    <w:p w:rsidR="00BE5463" w:rsidRDefault="009B2F9B" w:rsidP="00B31F10">
      <w:pPr>
        <w:pStyle w:val="Heading2"/>
        <w:rPr>
          <w:rFonts w:eastAsia="Calibri"/>
        </w:rPr>
      </w:pPr>
      <w:r>
        <w:br w:type="textWrapping" w:clear="all"/>
      </w:r>
      <w:bookmarkStart w:id="418" w:name="_Toc461021016"/>
    </w:p>
    <w:p w:rsidR="009B2F9B" w:rsidRPr="002E7A4E" w:rsidRDefault="0025362E" w:rsidP="0025362E">
      <w:pPr>
        <w:pStyle w:val="Heading3"/>
        <w:rPr>
          <w:rFonts w:eastAsia="Calibri"/>
        </w:rPr>
      </w:pPr>
      <w:bookmarkStart w:id="419" w:name="_Toc461025680"/>
      <w:bookmarkStart w:id="420" w:name="_Toc461025885"/>
      <w:bookmarkStart w:id="421" w:name="_Toc461027159"/>
      <w:r>
        <w:rPr>
          <w:rFonts w:eastAsia="Calibri"/>
        </w:rPr>
        <w:t>3</w:t>
      </w:r>
      <w:r w:rsidR="009B2F9B" w:rsidRPr="002E7A4E">
        <w:rPr>
          <w:rFonts w:eastAsia="Calibri"/>
        </w:rPr>
        <w:t>.6.4</w:t>
      </w:r>
      <w:r>
        <w:rPr>
          <w:rFonts w:eastAsia="Calibri"/>
        </w:rPr>
        <w:tab/>
      </w:r>
      <w:r w:rsidR="009B2F9B" w:rsidRPr="002E7A4E">
        <w:rPr>
          <w:rFonts w:eastAsia="Calibri"/>
        </w:rPr>
        <w:tab/>
        <w:t>Control Cost Estimate</w:t>
      </w:r>
      <w:bookmarkEnd w:id="418"/>
      <w:bookmarkEnd w:id="419"/>
      <w:bookmarkEnd w:id="420"/>
      <w:bookmarkEnd w:id="421"/>
    </w:p>
    <w:p w:rsidR="009B2F9B" w:rsidRPr="002E7A4E" w:rsidRDefault="009B2F9B" w:rsidP="0081054E">
      <w:pPr>
        <w:spacing w:after="120" w:line="240" w:lineRule="auto"/>
        <w:ind w:left="360"/>
        <w:jc w:val="both"/>
        <w:rPr>
          <w:rFonts w:asciiTheme="minorHAnsi" w:eastAsia="Calibri" w:hAnsiTheme="minorHAnsi"/>
        </w:rPr>
      </w:pPr>
      <w:r w:rsidRPr="002E7A4E">
        <w:rPr>
          <w:rFonts w:asciiTheme="minorHAnsi" w:hAnsiTheme="minorHAnsi"/>
        </w:rPr>
        <w:t>OTC employed the cost estimates presented in the 2011 recommendation “OTC Mobile Source Committee Recommended Federal Aftermarket Catalytic Converter Program (FACCP)” for each class of converter, $100 for EPA certified converters, $200-$300 for non-OBD updated converters and $350-$500 for OBD updated converters.  OBD converters cost more since more metals are necessary to meet the more stringent emission standards, making them more expensive.  Projected replacements were divided into categories for pre-1996 and 1996 and after model years so that the separate cost estimates could be used.  Given that a range was presented for the updated converters a high and low estimate were calculated.</w:t>
      </w:r>
    </w:p>
    <w:p w:rsidR="009B2F9B" w:rsidRPr="002E7A4E" w:rsidRDefault="009B2F9B" w:rsidP="0081054E">
      <w:pPr>
        <w:pStyle w:val="NoSpacing"/>
        <w:spacing w:after="120"/>
        <w:ind w:left="360"/>
        <w:jc w:val="both"/>
        <w:rPr>
          <w:rFonts w:asciiTheme="minorHAnsi" w:hAnsiTheme="minorHAnsi"/>
        </w:rPr>
      </w:pPr>
      <w:r w:rsidRPr="002E7A4E">
        <w:rPr>
          <w:rFonts w:asciiTheme="minorHAnsi" w:hAnsiTheme="minorHAnsi"/>
        </w:rPr>
        <w:t>Given our assumptions on the length of time aftermarket converters would last, differing time periods were used calculating the levels of depreciation.  All CARB certified converters were depreciated for five years and EPA certified converters were depreciated for two and half and five years to match the range of emission reductions estimated earlier.  The straight line method was employed to calculate the amount of annual depreciation.  The result was an estimate that the benefits from reducing NO</w:t>
      </w:r>
      <w:r w:rsidRPr="002E7A4E">
        <w:rPr>
          <w:rFonts w:asciiTheme="minorHAnsi" w:hAnsiTheme="minorHAnsi"/>
          <w:vertAlign w:val="subscript"/>
        </w:rPr>
        <w:t>X</w:t>
      </w:r>
      <w:r w:rsidRPr="002E7A4E">
        <w:rPr>
          <w:rFonts w:asciiTheme="minorHAnsi" w:hAnsiTheme="minorHAnsi"/>
        </w:rPr>
        <w:t xml:space="preserve"> would be between $4,000/ton and $7,000/ton. </w:t>
      </w:r>
    </w:p>
    <w:p w:rsidR="00BE5463" w:rsidRDefault="00BE5463">
      <w:pPr>
        <w:rPr>
          <w:rFonts w:asciiTheme="minorHAnsi" w:eastAsia="Calibri" w:hAnsiTheme="minorHAnsi" w:cstheme="majorBidi"/>
          <w:b/>
          <w:sz w:val="26"/>
          <w:szCs w:val="26"/>
        </w:rPr>
      </w:pPr>
      <w:bookmarkStart w:id="422" w:name="_Toc461021017"/>
      <w:r>
        <w:rPr>
          <w:rFonts w:eastAsia="Calibri"/>
        </w:rPr>
        <w:br w:type="page"/>
      </w:r>
      <w:r w:rsidR="00FC27E9">
        <w:rPr>
          <w:noProof/>
        </w:rPr>
        <mc:AlternateContent>
          <mc:Choice Requires="wps">
            <w:drawing>
              <wp:anchor distT="0" distB="0" distL="114300" distR="114300" simplePos="0" relativeHeight="251780096" behindDoc="0" locked="1" layoutInCell="1" allowOverlap="0" wp14:anchorId="37F0C09B" wp14:editId="2A19CA42">
                <wp:simplePos x="0" y="0"/>
                <wp:positionH relativeFrom="margin">
                  <wp:posOffset>2724150</wp:posOffset>
                </wp:positionH>
                <wp:positionV relativeFrom="bottomMargin">
                  <wp:posOffset>207010</wp:posOffset>
                </wp:positionV>
                <wp:extent cx="914400" cy="237490"/>
                <wp:effectExtent l="0" t="0" r="0" b="0"/>
                <wp:wrapNone/>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237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27E9" w:rsidRDefault="00FC27E9" w:rsidP="00FC27E9">
                            <w:pPr>
                              <w:ind w:right="60"/>
                              <w:rPr>
                                <w:rFonts w:asciiTheme="minorHAnsi" w:hAnsiTheme="minorHAnsi"/>
                                <w:sz w:val="20"/>
                                <w:szCs w:val="20"/>
                              </w:rPr>
                            </w:pPr>
                            <w:hyperlink w:anchor="TOC" w:history="1">
                              <w:r>
                                <w:rPr>
                                  <w:rStyle w:val="Hyperlink"/>
                                  <w:sz w:val="20"/>
                                  <w:szCs w:val="20"/>
                                </w:rPr>
                                <w:t>Back to TOC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0C09B" id="Text Box 227" o:spid="_x0000_s1081" type="#_x0000_t202" style="position:absolute;margin-left:214.5pt;margin-top:16.3pt;width:1in;height:18.7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JzWmQIAAK4FAAAOAAAAZHJzL2Uyb0RvYy54bWysVFFPGzEMfp+0/xDlfVxbCowTV9SBmCZV&#10;gAYTz2kuoRFJnCVp77pfj5O7K4XxwrSXOyf+bMf2Z5+dt0aTjfBBga3o+GBEibAcamUfK/rr/urL&#10;V0pCZLZmGqyo6FYEej77/OmscaWYwAp0LTxBJzaUjavoKkZXFkXgK2FYOAAnLColeMMiHv1jUXvW&#10;oHeji8lodFw04GvngYsQ8PayU9JZ9i+l4PFGyiAi0RXFt8X89fm7TN9idsbKR8/cSvH+GewfXmGY&#10;shh05+qSRUbWXv3lyijuIYCMBxxMAVIqLnIOmM149CabuxVzIueCxQluV6bw/9zy682tJ6qu6GRy&#10;QollBpt0L9pIvkFL0h1WqHGhROCdQ2hsUYGdztkGtwD+FBBS7GE6g4DoVJFWepP+mCtBQ2zCdlf4&#10;FIfj5el4Oh2hhqNqcngyPc2NKV6MnQ/xuwBDklBRj33ND2CbRYgpPCsHSIoVQKv6SmmdD4lL4kJ7&#10;smHIAh3HKSe0eIXSljQVPT48GmXHFpJ5h9M2uRGZTX24lG2XYJbiVouE0fankFjNnOc7sRnnwu7i&#10;Z3RCSQz1EcMe//Kqjxh3eaBFjgw27oyNsuC7vr4uWf00lEx2+L7focs7lSC2yzbT6Gg6MGYJ9RYJ&#10;46EbuuD4lcLuLViIt8zjlGHDcXPEG/xIDVh96CVKVuD/vHef8Eh+1FLS4NRWNPxeMy8o0T8sjkUm&#10;Eo55PkyPTiYYw+9rlvsauzYXgJQY445yPIsJH/UgSg/mARfMPEVFFbMcY1c0DuJF7HYJLigu5vMM&#10;wsF2LC7snePDnCRu3rcPzLuewBGZfw3DfLPyDY87bGqQhfk6glSZ5KnQXVX7BuBSyEzuF1jaOvvn&#10;jHpZs7NnAAAA//8DAFBLAwQUAAYACAAAACEALajRKeAAAAAJAQAADwAAAGRycy9kb3ducmV2Lnht&#10;bEyPwU7DMBBE70j8g7VIXCpqN4UWQpwKISq1hx4IXHpz4yWJiNeR7bbh71lO5Tg7o9k3xWp0vThh&#10;iJ0nDbOpAoFUe9tRo+HzY333CCImQ9b0nlDDD0ZYlddXhcmtP9M7nqrUCC6hmBsNbUpDLmWsW3Qm&#10;Tv2AxN6XD84klqGRNpgzl7teZkotpDMd8YfWDPjaYv1dHZ2GXdxvJvuwWU+qaOUWcfe2nSWtb2/G&#10;l2cQCcd0CcMfPqNDyUwHfyQbRa/hPnviLUnDPFuA4MDDcs6Hg4alUiDLQv5fUP4CAAD//wMAUEsB&#10;Ai0AFAAGAAgAAAAhALaDOJL+AAAA4QEAABMAAAAAAAAAAAAAAAAAAAAAAFtDb250ZW50X1R5cGVz&#10;XS54bWxQSwECLQAUAAYACAAAACEAOP0h/9YAAACUAQAACwAAAAAAAAAAAAAAAAAvAQAAX3JlbHMv&#10;LnJlbHNQSwECLQAUAAYACAAAACEAnJCc1pkCAACuBQAADgAAAAAAAAAAAAAAAAAuAgAAZHJzL2Uy&#10;b0RvYy54bWxQSwECLQAUAAYACAAAACEALajRKeAAAAAJAQAADwAAAAAAAAAAAAAAAADzBAAAZHJz&#10;L2Rvd25yZXYueG1sUEsFBgAAAAAEAAQA8wAAAAAGAAAAAA==&#10;" o:allowoverlap="f" fillcolor="white [3201]" stroked="f" strokeweight=".5pt">
                <v:path arrowok="t"/>
                <v:textbox>
                  <w:txbxContent>
                    <w:p w:rsidR="00FC27E9" w:rsidRDefault="00FC27E9" w:rsidP="00FC27E9">
                      <w:pPr>
                        <w:ind w:right="60"/>
                        <w:rPr>
                          <w:rFonts w:asciiTheme="minorHAnsi" w:hAnsiTheme="minorHAnsi"/>
                          <w:sz w:val="20"/>
                          <w:szCs w:val="20"/>
                        </w:rPr>
                      </w:pPr>
                      <w:hyperlink w:anchor="TOC" w:history="1">
                        <w:r>
                          <w:rPr>
                            <w:rStyle w:val="Hyperlink"/>
                            <w:sz w:val="20"/>
                            <w:szCs w:val="20"/>
                          </w:rPr>
                          <w:t>Back to TOC</w:t>
                        </w:r>
                      </w:hyperlink>
                    </w:p>
                  </w:txbxContent>
                </v:textbox>
                <w10:wrap anchorx="margin" anchory="margin"/>
                <w10:anchorlock/>
              </v:shape>
            </w:pict>
          </mc:Fallback>
        </mc:AlternateContent>
      </w:r>
    </w:p>
    <w:p w:rsidR="009B2F9B" w:rsidRPr="002E7A4E" w:rsidRDefault="0025362E" w:rsidP="0025362E">
      <w:pPr>
        <w:pStyle w:val="Heading3"/>
        <w:rPr>
          <w:rFonts w:eastAsia="Calibri"/>
        </w:rPr>
      </w:pPr>
      <w:bookmarkStart w:id="423" w:name="_Toc461025681"/>
      <w:bookmarkStart w:id="424" w:name="_Toc461025886"/>
      <w:bookmarkStart w:id="425" w:name="_Toc461027160"/>
      <w:r>
        <w:rPr>
          <w:rFonts w:eastAsia="Calibri"/>
        </w:rPr>
        <w:lastRenderedPageBreak/>
        <w:t>3</w:t>
      </w:r>
      <w:r w:rsidR="009B2F9B" w:rsidRPr="002E7A4E">
        <w:rPr>
          <w:rFonts w:eastAsia="Calibri"/>
        </w:rPr>
        <w:t>.6.5</w:t>
      </w:r>
      <w:r>
        <w:rPr>
          <w:rFonts w:eastAsia="Calibri"/>
        </w:rPr>
        <w:tab/>
      </w:r>
      <w:r w:rsidR="009B2F9B" w:rsidRPr="002E7A4E">
        <w:rPr>
          <w:rFonts w:eastAsia="Calibri"/>
        </w:rPr>
        <w:tab/>
        <w:t>Emissions Reduction Benefits for Other Pollutants</w:t>
      </w:r>
      <w:bookmarkEnd w:id="422"/>
      <w:bookmarkEnd w:id="423"/>
      <w:bookmarkEnd w:id="424"/>
      <w:bookmarkEnd w:id="425"/>
    </w:p>
    <w:p w:rsidR="009B2F9B" w:rsidRPr="002E7A4E" w:rsidRDefault="009B2F9B" w:rsidP="0081054E">
      <w:pPr>
        <w:pStyle w:val="NoSpacing"/>
        <w:spacing w:after="200"/>
        <w:ind w:left="360"/>
        <w:jc w:val="both"/>
        <w:rPr>
          <w:rFonts w:asciiTheme="minorHAnsi" w:hAnsiTheme="minorHAnsi"/>
        </w:rPr>
      </w:pPr>
      <w:r w:rsidRPr="002E7A4E">
        <w:rPr>
          <w:rFonts w:asciiTheme="minorHAnsi" w:hAnsiTheme="minorHAnsi"/>
        </w:rPr>
        <w:t>Updating the aftermarket catalytic converter standards brings with it benefits from reducing other pollutants as well.  The same technique was used to calculate these reductions as was used to calculate the benefits from reducing NO</w:t>
      </w:r>
      <w:r w:rsidRPr="002E7A4E">
        <w:rPr>
          <w:rFonts w:asciiTheme="minorHAnsi" w:hAnsiTheme="minorHAnsi"/>
          <w:vertAlign w:val="subscript"/>
        </w:rPr>
        <w:t>X</w:t>
      </w:r>
      <w:r w:rsidRPr="002E7A4E">
        <w:rPr>
          <w:rFonts w:asciiTheme="minorHAnsi" w:hAnsiTheme="minorHAnsi"/>
        </w:rPr>
        <w:t xml:space="preserve"> and the benefits are listed in </w:t>
      </w:r>
      <w:r w:rsidRPr="002E7A4E">
        <w:rPr>
          <w:rFonts w:asciiTheme="minorHAnsi" w:hAnsiTheme="minorHAnsi"/>
        </w:rPr>
        <w:fldChar w:fldCharType="begin"/>
      </w:r>
      <w:r w:rsidRPr="002E7A4E">
        <w:rPr>
          <w:rFonts w:asciiTheme="minorHAnsi" w:hAnsiTheme="minorHAnsi"/>
        </w:rPr>
        <w:instrText xml:space="preserve"> REF _Ref381258424 \h  \* MERGEFORMAT </w:instrText>
      </w:r>
      <w:r w:rsidRPr="002E7A4E">
        <w:rPr>
          <w:rFonts w:asciiTheme="minorHAnsi" w:hAnsiTheme="minorHAnsi"/>
        </w:rPr>
      </w:r>
      <w:r w:rsidRPr="002E7A4E">
        <w:rPr>
          <w:rFonts w:asciiTheme="minorHAnsi" w:hAnsiTheme="minorHAnsi"/>
        </w:rPr>
        <w:fldChar w:fldCharType="separate"/>
      </w:r>
      <w:r w:rsidRPr="002E7A4E">
        <w:rPr>
          <w:rFonts w:asciiTheme="minorHAnsi" w:hAnsiTheme="minorHAnsi"/>
        </w:rPr>
        <w:t xml:space="preserve">Table </w:t>
      </w:r>
      <w:r w:rsidRPr="002E7A4E">
        <w:rPr>
          <w:rFonts w:asciiTheme="minorHAnsi" w:hAnsiTheme="minorHAnsi"/>
          <w:noProof/>
        </w:rPr>
        <w:t>2</w:t>
      </w:r>
      <w:r w:rsidRPr="002E7A4E">
        <w:rPr>
          <w:rFonts w:asciiTheme="minorHAnsi" w:hAnsiTheme="minorHAnsi"/>
        </w:rPr>
        <w:fldChar w:fldCharType="end"/>
      </w:r>
      <w:r w:rsidRPr="002E7A4E">
        <w:rPr>
          <w:rFonts w:asciiTheme="minorHAnsi" w:hAnsiTheme="minorHAnsi"/>
        </w:rPr>
        <w:t xml:space="preserve">. </w:t>
      </w:r>
    </w:p>
    <w:p w:rsidR="007C0785" w:rsidRPr="007C0785" w:rsidRDefault="007C0785" w:rsidP="007C0785">
      <w:pPr>
        <w:pStyle w:val="Caption"/>
        <w:keepNext/>
        <w:spacing w:after="120"/>
        <w:rPr>
          <w:rFonts w:asciiTheme="minorHAnsi" w:hAnsiTheme="minorHAnsi"/>
          <w:sz w:val="22"/>
          <w:szCs w:val="22"/>
        </w:rPr>
      </w:pPr>
      <w:bookmarkStart w:id="426" w:name="_Toc461106825"/>
      <w:r w:rsidRPr="007C0785">
        <w:rPr>
          <w:rFonts w:asciiTheme="minorHAnsi" w:hAnsiTheme="minorHAnsi"/>
          <w:sz w:val="22"/>
          <w:szCs w:val="22"/>
        </w:rPr>
        <w:t>Table 3-19</w:t>
      </w:r>
      <w:r w:rsidR="008C11C9">
        <w:rPr>
          <w:rFonts w:asciiTheme="minorHAnsi" w:hAnsiTheme="minorHAnsi"/>
          <w:sz w:val="22"/>
          <w:szCs w:val="22"/>
        </w:rPr>
        <w:tab/>
      </w:r>
      <w:r w:rsidRPr="007C0785">
        <w:rPr>
          <w:rFonts w:asciiTheme="minorHAnsi" w:hAnsiTheme="minorHAnsi"/>
          <w:sz w:val="22"/>
          <w:szCs w:val="22"/>
        </w:rPr>
        <w:t>Other Emission Reduction Estimates from an updated Aftermarket Catalytic Converter Program in the OTR in 2015</w:t>
      </w:r>
      <w:bookmarkEnd w:id="426"/>
    </w:p>
    <w:tbl>
      <w:tblPr>
        <w:tblpPr w:leftFromText="180" w:rightFromText="180" w:vertAnchor="text" w:horzAnchor="margin" w:tblpXSpec="center" w:tblpY="45"/>
        <w:tblOverlap w:val="never"/>
        <w:tblW w:w="8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1"/>
        <w:gridCol w:w="1284"/>
        <w:gridCol w:w="1699"/>
        <w:gridCol w:w="1257"/>
        <w:gridCol w:w="1393"/>
      </w:tblGrid>
      <w:tr w:rsidR="009B2F9B" w:rsidTr="00A475FE">
        <w:trPr>
          <w:trHeight w:val="300"/>
        </w:trPr>
        <w:tc>
          <w:tcPr>
            <w:tcW w:w="3071" w:type="dxa"/>
            <w:tcBorders>
              <w:top w:val="single" w:sz="4" w:space="0" w:color="auto"/>
              <w:left w:val="single" w:sz="4" w:space="0" w:color="auto"/>
              <w:bottom w:val="single" w:sz="4" w:space="0" w:color="auto"/>
              <w:right w:val="single" w:sz="4" w:space="0" w:color="auto"/>
            </w:tcBorders>
            <w:vAlign w:val="center"/>
          </w:tcPr>
          <w:p w:rsidR="009B2F9B" w:rsidRDefault="009B2F9B" w:rsidP="0081054E">
            <w:pPr>
              <w:spacing w:line="240" w:lineRule="auto"/>
              <w:rPr>
                <w:rFonts w:eastAsia="Times New Roman" w:cs="Calibri"/>
                <w:b/>
                <w:bCs/>
                <w:color w:val="000000"/>
                <w:sz w:val="20"/>
                <w:szCs w:val="20"/>
              </w:rPr>
            </w:pPr>
          </w:p>
        </w:tc>
        <w:tc>
          <w:tcPr>
            <w:tcW w:w="2983" w:type="dxa"/>
            <w:gridSpan w:val="2"/>
            <w:tcBorders>
              <w:top w:val="single" w:sz="4" w:space="0" w:color="auto"/>
              <w:left w:val="single" w:sz="4" w:space="0" w:color="auto"/>
              <w:bottom w:val="single" w:sz="4" w:space="0" w:color="auto"/>
              <w:right w:val="single" w:sz="4" w:space="0" w:color="auto"/>
            </w:tcBorders>
            <w:vAlign w:val="center"/>
            <w:hideMark/>
          </w:tcPr>
          <w:p w:rsidR="009B2F9B" w:rsidRDefault="009B2F9B" w:rsidP="0081054E">
            <w:pPr>
              <w:spacing w:line="240" w:lineRule="auto"/>
              <w:rPr>
                <w:rFonts w:eastAsia="Times New Roman" w:cs="Calibri"/>
                <w:b/>
                <w:bCs/>
                <w:color w:val="000000"/>
                <w:sz w:val="20"/>
                <w:szCs w:val="20"/>
              </w:rPr>
            </w:pPr>
            <w:r>
              <w:rPr>
                <w:rFonts w:eastAsia="Times New Roman" w:cs="Calibri"/>
                <w:b/>
                <w:bCs/>
                <w:color w:val="000000"/>
                <w:sz w:val="20"/>
                <w:szCs w:val="20"/>
              </w:rPr>
              <w:t>Range of Reductions in NMHC</w:t>
            </w:r>
          </w:p>
        </w:tc>
        <w:tc>
          <w:tcPr>
            <w:tcW w:w="2650" w:type="dxa"/>
            <w:gridSpan w:val="2"/>
            <w:tcBorders>
              <w:top w:val="single" w:sz="4" w:space="0" w:color="auto"/>
              <w:left w:val="single" w:sz="4" w:space="0" w:color="auto"/>
              <w:bottom w:val="single" w:sz="4" w:space="0" w:color="auto"/>
              <w:right w:val="single" w:sz="4" w:space="0" w:color="auto"/>
            </w:tcBorders>
            <w:vAlign w:val="center"/>
            <w:hideMark/>
          </w:tcPr>
          <w:p w:rsidR="009B2F9B" w:rsidRDefault="009B2F9B" w:rsidP="0081054E">
            <w:pPr>
              <w:spacing w:line="240" w:lineRule="auto"/>
              <w:rPr>
                <w:rFonts w:eastAsia="Times New Roman" w:cs="Calibri"/>
                <w:b/>
                <w:bCs/>
                <w:color w:val="000000"/>
                <w:sz w:val="20"/>
                <w:szCs w:val="20"/>
              </w:rPr>
            </w:pPr>
            <w:r>
              <w:rPr>
                <w:rFonts w:eastAsia="Times New Roman" w:cs="Calibri"/>
                <w:b/>
                <w:bCs/>
                <w:color w:val="000000"/>
                <w:sz w:val="20"/>
                <w:szCs w:val="20"/>
              </w:rPr>
              <w:t>Range of Reductions in CO</w:t>
            </w:r>
          </w:p>
        </w:tc>
      </w:tr>
      <w:tr w:rsidR="009B2F9B" w:rsidTr="00A475FE">
        <w:trPr>
          <w:trHeight w:val="300"/>
        </w:trPr>
        <w:tc>
          <w:tcPr>
            <w:tcW w:w="3071" w:type="dxa"/>
            <w:tcBorders>
              <w:top w:val="single" w:sz="4" w:space="0" w:color="auto"/>
              <w:left w:val="single" w:sz="4" w:space="0" w:color="auto"/>
              <w:bottom w:val="single" w:sz="4" w:space="0" w:color="auto"/>
              <w:right w:val="single" w:sz="4" w:space="0" w:color="auto"/>
            </w:tcBorders>
            <w:hideMark/>
          </w:tcPr>
          <w:p w:rsidR="009B2F9B" w:rsidRDefault="009B2F9B" w:rsidP="0081054E">
            <w:pPr>
              <w:spacing w:line="240" w:lineRule="auto"/>
              <w:rPr>
                <w:rFonts w:eastAsia="Times New Roman" w:cs="Calibri"/>
                <w:color w:val="000000"/>
                <w:sz w:val="20"/>
                <w:szCs w:val="20"/>
              </w:rPr>
            </w:pPr>
            <w:r>
              <w:rPr>
                <w:rFonts w:eastAsia="Times New Roman" w:cs="Calibri"/>
                <w:color w:val="000000"/>
                <w:sz w:val="20"/>
                <w:szCs w:val="20"/>
              </w:rPr>
              <w:t>Annual Reductions (tons per year)</w:t>
            </w:r>
          </w:p>
        </w:tc>
        <w:tc>
          <w:tcPr>
            <w:tcW w:w="1284" w:type="dxa"/>
            <w:tcBorders>
              <w:top w:val="single" w:sz="4" w:space="0" w:color="auto"/>
              <w:left w:val="single" w:sz="4" w:space="0" w:color="auto"/>
              <w:bottom w:val="single" w:sz="4" w:space="0" w:color="auto"/>
              <w:right w:val="single" w:sz="4" w:space="0" w:color="auto"/>
            </w:tcBorders>
            <w:hideMark/>
          </w:tcPr>
          <w:p w:rsidR="009B2F9B" w:rsidRDefault="009B2F9B" w:rsidP="0081054E">
            <w:pPr>
              <w:spacing w:line="240" w:lineRule="auto"/>
              <w:rPr>
                <w:rFonts w:eastAsia="Times New Roman" w:cs="Calibri"/>
                <w:color w:val="000000"/>
                <w:sz w:val="20"/>
                <w:szCs w:val="20"/>
              </w:rPr>
            </w:pPr>
            <w:r>
              <w:rPr>
                <w:rFonts w:eastAsia="Times New Roman" w:cs="Calibri"/>
                <w:color w:val="000000"/>
                <w:sz w:val="20"/>
                <w:szCs w:val="20"/>
              </w:rPr>
              <w:t>1,900</w:t>
            </w:r>
          </w:p>
        </w:tc>
        <w:tc>
          <w:tcPr>
            <w:tcW w:w="1699" w:type="dxa"/>
            <w:tcBorders>
              <w:top w:val="single" w:sz="4" w:space="0" w:color="auto"/>
              <w:left w:val="single" w:sz="4" w:space="0" w:color="auto"/>
              <w:bottom w:val="single" w:sz="4" w:space="0" w:color="auto"/>
              <w:right w:val="single" w:sz="4" w:space="0" w:color="auto"/>
            </w:tcBorders>
            <w:hideMark/>
          </w:tcPr>
          <w:p w:rsidR="009B2F9B" w:rsidRDefault="009B2F9B" w:rsidP="0081054E">
            <w:pPr>
              <w:spacing w:line="240" w:lineRule="auto"/>
              <w:rPr>
                <w:rFonts w:eastAsia="Times New Roman" w:cs="Calibri"/>
                <w:color w:val="000000"/>
                <w:sz w:val="20"/>
                <w:szCs w:val="20"/>
              </w:rPr>
            </w:pPr>
            <w:r>
              <w:rPr>
                <w:rFonts w:eastAsia="Times New Roman" w:cs="Calibri"/>
                <w:color w:val="000000"/>
                <w:sz w:val="20"/>
                <w:szCs w:val="20"/>
              </w:rPr>
              <w:t>2,200</w:t>
            </w:r>
          </w:p>
        </w:tc>
        <w:tc>
          <w:tcPr>
            <w:tcW w:w="1257" w:type="dxa"/>
            <w:tcBorders>
              <w:top w:val="single" w:sz="4" w:space="0" w:color="auto"/>
              <w:left w:val="single" w:sz="4" w:space="0" w:color="auto"/>
              <w:bottom w:val="single" w:sz="4" w:space="0" w:color="auto"/>
              <w:right w:val="single" w:sz="4" w:space="0" w:color="auto"/>
            </w:tcBorders>
            <w:hideMark/>
          </w:tcPr>
          <w:p w:rsidR="009B2F9B" w:rsidRDefault="009B2F9B" w:rsidP="0081054E">
            <w:pPr>
              <w:spacing w:line="240" w:lineRule="auto"/>
              <w:rPr>
                <w:rFonts w:eastAsia="Times New Roman" w:cs="Calibri"/>
                <w:color w:val="000000"/>
                <w:sz w:val="20"/>
                <w:szCs w:val="20"/>
              </w:rPr>
            </w:pPr>
            <w:r>
              <w:rPr>
                <w:rFonts w:eastAsia="Times New Roman" w:cs="Calibri"/>
                <w:color w:val="000000"/>
                <w:sz w:val="20"/>
                <w:szCs w:val="20"/>
              </w:rPr>
              <w:t>16,000</w:t>
            </w:r>
          </w:p>
        </w:tc>
        <w:tc>
          <w:tcPr>
            <w:tcW w:w="1393" w:type="dxa"/>
            <w:tcBorders>
              <w:top w:val="single" w:sz="4" w:space="0" w:color="auto"/>
              <w:left w:val="single" w:sz="4" w:space="0" w:color="auto"/>
              <w:bottom w:val="single" w:sz="4" w:space="0" w:color="auto"/>
              <w:right w:val="single" w:sz="4" w:space="0" w:color="auto"/>
            </w:tcBorders>
            <w:hideMark/>
          </w:tcPr>
          <w:p w:rsidR="009B2F9B" w:rsidRDefault="009B2F9B" w:rsidP="0081054E">
            <w:pPr>
              <w:spacing w:line="240" w:lineRule="auto"/>
              <w:rPr>
                <w:rFonts w:eastAsia="Times New Roman" w:cs="Calibri"/>
                <w:color w:val="000000"/>
                <w:sz w:val="20"/>
                <w:szCs w:val="20"/>
              </w:rPr>
            </w:pPr>
            <w:r>
              <w:rPr>
                <w:rFonts w:eastAsia="Times New Roman" w:cs="Calibri"/>
                <w:color w:val="000000"/>
                <w:sz w:val="20"/>
                <w:szCs w:val="20"/>
              </w:rPr>
              <w:t>25,000</w:t>
            </w:r>
          </w:p>
        </w:tc>
      </w:tr>
      <w:tr w:rsidR="009B2F9B" w:rsidTr="00A475FE">
        <w:trPr>
          <w:trHeight w:val="300"/>
        </w:trPr>
        <w:tc>
          <w:tcPr>
            <w:tcW w:w="3071" w:type="dxa"/>
            <w:tcBorders>
              <w:top w:val="single" w:sz="4" w:space="0" w:color="auto"/>
              <w:left w:val="single" w:sz="4" w:space="0" w:color="auto"/>
              <w:bottom w:val="single" w:sz="4" w:space="0" w:color="auto"/>
              <w:right w:val="single" w:sz="4" w:space="0" w:color="auto"/>
            </w:tcBorders>
            <w:hideMark/>
          </w:tcPr>
          <w:p w:rsidR="009B2F9B" w:rsidRDefault="009B2F9B" w:rsidP="0081054E">
            <w:pPr>
              <w:spacing w:line="240" w:lineRule="auto"/>
              <w:rPr>
                <w:rFonts w:eastAsia="Times New Roman" w:cs="Calibri"/>
                <w:color w:val="000000"/>
                <w:sz w:val="20"/>
                <w:szCs w:val="20"/>
              </w:rPr>
            </w:pPr>
            <w:r>
              <w:rPr>
                <w:rFonts w:eastAsia="Times New Roman" w:cs="Calibri"/>
                <w:color w:val="000000"/>
                <w:sz w:val="20"/>
                <w:szCs w:val="20"/>
              </w:rPr>
              <w:t>Daily Reductions (tons per day)</w:t>
            </w:r>
          </w:p>
        </w:tc>
        <w:tc>
          <w:tcPr>
            <w:tcW w:w="1284" w:type="dxa"/>
            <w:tcBorders>
              <w:top w:val="single" w:sz="4" w:space="0" w:color="auto"/>
              <w:left w:val="single" w:sz="4" w:space="0" w:color="auto"/>
              <w:bottom w:val="single" w:sz="4" w:space="0" w:color="auto"/>
              <w:right w:val="single" w:sz="4" w:space="0" w:color="auto"/>
            </w:tcBorders>
            <w:hideMark/>
          </w:tcPr>
          <w:p w:rsidR="009B2F9B" w:rsidRDefault="009B2F9B" w:rsidP="0081054E">
            <w:pPr>
              <w:spacing w:line="240" w:lineRule="auto"/>
              <w:rPr>
                <w:rFonts w:eastAsia="Times New Roman" w:cs="Calibri"/>
                <w:color w:val="000000"/>
                <w:sz w:val="20"/>
                <w:szCs w:val="20"/>
              </w:rPr>
            </w:pPr>
            <w:r>
              <w:rPr>
                <w:rFonts w:eastAsia="Times New Roman" w:cs="Calibri"/>
                <w:color w:val="000000"/>
                <w:sz w:val="20"/>
                <w:szCs w:val="20"/>
              </w:rPr>
              <w:t>5</w:t>
            </w:r>
          </w:p>
        </w:tc>
        <w:tc>
          <w:tcPr>
            <w:tcW w:w="1699" w:type="dxa"/>
            <w:tcBorders>
              <w:top w:val="single" w:sz="4" w:space="0" w:color="auto"/>
              <w:left w:val="single" w:sz="4" w:space="0" w:color="auto"/>
              <w:bottom w:val="single" w:sz="4" w:space="0" w:color="auto"/>
              <w:right w:val="single" w:sz="4" w:space="0" w:color="auto"/>
            </w:tcBorders>
            <w:hideMark/>
          </w:tcPr>
          <w:p w:rsidR="009B2F9B" w:rsidRDefault="009B2F9B" w:rsidP="0081054E">
            <w:pPr>
              <w:spacing w:line="240" w:lineRule="auto"/>
              <w:rPr>
                <w:rFonts w:eastAsia="Times New Roman" w:cs="Calibri"/>
                <w:color w:val="000000"/>
                <w:sz w:val="20"/>
                <w:szCs w:val="20"/>
              </w:rPr>
            </w:pPr>
            <w:r>
              <w:rPr>
                <w:rFonts w:eastAsia="Times New Roman" w:cs="Calibri"/>
                <w:color w:val="000000"/>
                <w:sz w:val="20"/>
                <w:szCs w:val="20"/>
              </w:rPr>
              <w:t>6</w:t>
            </w:r>
          </w:p>
        </w:tc>
        <w:tc>
          <w:tcPr>
            <w:tcW w:w="1257" w:type="dxa"/>
            <w:tcBorders>
              <w:top w:val="single" w:sz="4" w:space="0" w:color="auto"/>
              <w:left w:val="single" w:sz="4" w:space="0" w:color="auto"/>
              <w:bottom w:val="single" w:sz="4" w:space="0" w:color="auto"/>
              <w:right w:val="single" w:sz="4" w:space="0" w:color="auto"/>
            </w:tcBorders>
            <w:hideMark/>
          </w:tcPr>
          <w:p w:rsidR="009B2F9B" w:rsidRDefault="009B2F9B" w:rsidP="0081054E">
            <w:pPr>
              <w:spacing w:line="240" w:lineRule="auto"/>
              <w:rPr>
                <w:rFonts w:eastAsia="Times New Roman" w:cs="Calibri"/>
                <w:color w:val="000000"/>
                <w:sz w:val="20"/>
                <w:szCs w:val="20"/>
              </w:rPr>
            </w:pPr>
            <w:r>
              <w:rPr>
                <w:rFonts w:eastAsia="Times New Roman" w:cs="Calibri"/>
                <w:color w:val="000000"/>
                <w:sz w:val="20"/>
                <w:szCs w:val="20"/>
              </w:rPr>
              <w:t>43</w:t>
            </w:r>
          </w:p>
        </w:tc>
        <w:tc>
          <w:tcPr>
            <w:tcW w:w="1393" w:type="dxa"/>
            <w:tcBorders>
              <w:top w:val="single" w:sz="4" w:space="0" w:color="auto"/>
              <w:left w:val="single" w:sz="4" w:space="0" w:color="auto"/>
              <w:bottom w:val="single" w:sz="4" w:space="0" w:color="auto"/>
              <w:right w:val="single" w:sz="4" w:space="0" w:color="auto"/>
            </w:tcBorders>
            <w:hideMark/>
          </w:tcPr>
          <w:p w:rsidR="009B2F9B" w:rsidRDefault="009B2F9B" w:rsidP="0081054E">
            <w:pPr>
              <w:spacing w:line="240" w:lineRule="auto"/>
              <w:rPr>
                <w:rFonts w:eastAsia="Times New Roman" w:cs="Calibri"/>
                <w:color w:val="000000"/>
                <w:sz w:val="20"/>
                <w:szCs w:val="20"/>
              </w:rPr>
            </w:pPr>
            <w:r>
              <w:rPr>
                <w:rFonts w:eastAsia="Times New Roman" w:cs="Calibri"/>
                <w:color w:val="000000"/>
                <w:sz w:val="20"/>
                <w:szCs w:val="20"/>
              </w:rPr>
              <w:t>70</w:t>
            </w:r>
          </w:p>
        </w:tc>
      </w:tr>
      <w:tr w:rsidR="009B2F9B" w:rsidTr="00A475FE">
        <w:trPr>
          <w:trHeight w:val="300"/>
        </w:trPr>
        <w:tc>
          <w:tcPr>
            <w:tcW w:w="3071" w:type="dxa"/>
            <w:tcBorders>
              <w:top w:val="single" w:sz="4" w:space="0" w:color="auto"/>
              <w:left w:val="single" w:sz="4" w:space="0" w:color="auto"/>
              <w:bottom w:val="single" w:sz="4" w:space="0" w:color="auto"/>
              <w:right w:val="single" w:sz="4" w:space="0" w:color="auto"/>
            </w:tcBorders>
            <w:hideMark/>
          </w:tcPr>
          <w:p w:rsidR="009B2F9B" w:rsidRDefault="009B2F9B" w:rsidP="0081054E">
            <w:pPr>
              <w:spacing w:line="240" w:lineRule="auto"/>
              <w:rPr>
                <w:rFonts w:eastAsia="Times New Roman" w:cs="Calibri"/>
                <w:color w:val="000000"/>
                <w:sz w:val="20"/>
                <w:szCs w:val="20"/>
              </w:rPr>
            </w:pPr>
            <w:r>
              <w:rPr>
                <w:rFonts w:eastAsia="Times New Roman" w:cs="Calibri"/>
                <w:color w:val="000000"/>
                <w:sz w:val="20"/>
                <w:szCs w:val="20"/>
              </w:rPr>
              <w:t>Cost Benefit (2010 dollars)</w:t>
            </w:r>
          </w:p>
        </w:tc>
        <w:tc>
          <w:tcPr>
            <w:tcW w:w="1284" w:type="dxa"/>
            <w:tcBorders>
              <w:top w:val="single" w:sz="4" w:space="0" w:color="auto"/>
              <w:left w:val="single" w:sz="4" w:space="0" w:color="auto"/>
              <w:bottom w:val="single" w:sz="4" w:space="0" w:color="auto"/>
              <w:right w:val="single" w:sz="4" w:space="0" w:color="auto"/>
            </w:tcBorders>
            <w:hideMark/>
          </w:tcPr>
          <w:p w:rsidR="009B2F9B" w:rsidRDefault="009B2F9B" w:rsidP="0081054E">
            <w:pPr>
              <w:spacing w:line="240" w:lineRule="auto"/>
              <w:rPr>
                <w:rFonts w:eastAsia="Times New Roman" w:cs="Calibri"/>
                <w:color w:val="000000"/>
                <w:sz w:val="20"/>
                <w:szCs w:val="20"/>
              </w:rPr>
            </w:pPr>
            <w:r>
              <w:rPr>
                <w:rFonts w:eastAsia="Times New Roman" w:cs="Calibri"/>
                <w:color w:val="000000"/>
                <w:sz w:val="20"/>
                <w:szCs w:val="20"/>
              </w:rPr>
              <w:t>$20,000</w:t>
            </w:r>
          </w:p>
        </w:tc>
        <w:tc>
          <w:tcPr>
            <w:tcW w:w="1699" w:type="dxa"/>
            <w:tcBorders>
              <w:top w:val="single" w:sz="4" w:space="0" w:color="auto"/>
              <w:left w:val="single" w:sz="4" w:space="0" w:color="auto"/>
              <w:bottom w:val="single" w:sz="4" w:space="0" w:color="auto"/>
              <w:right w:val="single" w:sz="4" w:space="0" w:color="auto"/>
            </w:tcBorders>
            <w:hideMark/>
          </w:tcPr>
          <w:p w:rsidR="009B2F9B" w:rsidRDefault="009B2F9B" w:rsidP="0081054E">
            <w:pPr>
              <w:spacing w:line="240" w:lineRule="auto"/>
              <w:rPr>
                <w:rFonts w:eastAsia="Times New Roman" w:cs="Calibri"/>
                <w:color w:val="000000"/>
                <w:sz w:val="20"/>
                <w:szCs w:val="20"/>
              </w:rPr>
            </w:pPr>
            <w:r>
              <w:rPr>
                <w:rFonts w:eastAsia="Times New Roman" w:cs="Calibri"/>
                <w:color w:val="000000"/>
                <w:sz w:val="20"/>
                <w:szCs w:val="20"/>
              </w:rPr>
              <w:t>$31,000</w:t>
            </w:r>
          </w:p>
        </w:tc>
        <w:tc>
          <w:tcPr>
            <w:tcW w:w="1257" w:type="dxa"/>
            <w:tcBorders>
              <w:top w:val="single" w:sz="4" w:space="0" w:color="auto"/>
              <w:left w:val="single" w:sz="4" w:space="0" w:color="auto"/>
              <w:bottom w:val="single" w:sz="4" w:space="0" w:color="auto"/>
              <w:right w:val="single" w:sz="4" w:space="0" w:color="auto"/>
            </w:tcBorders>
            <w:hideMark/>
          </w:tcPr>
          <w:p w:rsidR="009B2F9B" w:rsidRDefault="009B2F9B" w:rsidP="0081054E">
            <w:pPr>
              <w:spacing w:line="240" w:lineRule="auto"/>
              <w:rPr>
                <w:rFonts w:eastAsia="Times New Roman" w:cs="Calibri"/>
                <w:color w:val="000000"/>
                <w:sz w:val="20"/>
                <w:szCs w:val="20"/>
              </w:rPr>
            </w:pPr>
            <w:r>
              <w:rPr>
                <w:rFonts w:eastAsia="Times New Roman" w:cs="Calibri"/>
                <w:color w:val="000000"/>
                <w:sz w:val="20"/>
                <w:szCs w:val="20"/>
              </w:rPr>
              <w:t xml:space="preserve">$2,000 </w:t>
            </w:r>
          </w:p>
        </w:tc>
        <w:tc>
          <w:tcPr>
            <w:tcW w:w="1393" w:type="dxa"/>
            <w:tcBorders>
              <w:top w:val="single" w:sz="4" w:space="0" w:color="auto"/>
              <w:left w:val="single" w:sz="4" w:space="0" w:color="auto"/>
              <w:bottom w:val="single" w:sz="4" w:space="0" w:color="auto"/>
              <w:right w:val="single" w:sz="4" w:space="0" w:color="auto"/>
            </w:tcBorders>
            <w:hideMark/>
          </w:tcPr>
          <w:p w:rsidR="009B2F9B" w:rsidRDefault="009B2F9B" w:rsidP="0081054E">
            <w:pPr>
              <w:spacing w:line="240" w:lineRule="auto"/>
              <w:rPr>
                <w:rFonts w:eastAsia="Times New Roman" w:cs="Calibri"/>
                <w:color w:val="000000"/>
                <w:sz w:val="20"/>
                <w:szCs w:val="20"/>
              </w:rPr>
            </w:pPr>
            <w:r>
              <w:rPr>
                <w:rFonts w:eastAsia="Times New Roman" w:cs="Calibri"/>
                <w:color w:val="000000"/>
                <w:sz w:val="20"/>
                <w:szCs w:val="20"/>
              </w:rPr>
              <w:t>$3,000</w:t>
            </w:r>
          </w:p>
        </w:tc>
      </w:tr>
    </w:tbl>
    <w:p w:rsidR="009B2F9B" w:rsidRDefault="00FC27E9" w:rsidP="0081054E">
      <w:pPr>
        <w:spacing w:after="120" w:line="240" w:lineRule="auto"/>
        <w:ind w:left="360"/>
        <w:jc w:val="both"/>
        <w:rPr>
          <w:b/>
        </w:rPr>
      </w:pPr>
      <w:r>
        <w:rPr>
          <w:noProof/>
        </w:rPr>
        <mc:AlternateContent>
          <mc:Choice Requires="wps">
            <w:drawing>
              <wp:anchor distT="0" distB="0" distL="114300" distR="114300" simplePos="0" relativeHeight="251782144" behindDoc="0" locked="1" layoutInCell="1" allowOverlap="0" wp14:anchorId="6F0D53B8" wp14:editId="6D51BB18">
                <wp:simplePos x="0" y="0"/>
                <wp:positionH relativeFrom="margin">
                  <wp:posOffset>2781300</wp:posOffset>
                </wp:positionH>
                <wp:positionV relativeFrom="bottomMargin">
                  <wp:posOffset>222250</wp:posOffset>
                </wp:positionV>
                <wp:extent cx="914400" cy="237490"/>
                <wp:effectExtent l="0" t="0" r="0" b="0"/>
                <wp:wrapNone/>
                <wp:docPr id="22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237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27E9" w:rsidRDefault="00FC27E9" w:rsidP="00FC27E9">
                            <w:pPr>
                              <w:ind w:right="60"/>
                              <w:rPr>
                                <w:rFonts w:asciiTheme="minorHAnsi" w:hAnsiTheme="minorHAnsi"/>
                                <w:sz w:val="20"/>
                                <w:szCs w:val="20"/>
                              </w:rPr>
                            </w:pPr>
                            <w:hyperlink w:anchor="TOC" w:history="1">
                              <w:r>
                                <w:rPr>
                                  <w:rStyle w:val="Hyperlink"/>
                                  <w:sz w:val="20"/>
                                  <w:szCs w:val="20"/>
                                </w:rPr>
                                <w:t>Back to TOC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0D53B8" id="Text Box 228" o:spid="_x0000_s1082" type="#_x0000_t202" style="position:absolute;left:0;text-align:left;margin-left:219pt;margin-top:17.5pt;width:1in;height:18.7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71omQIAAK4FAAAOAAAAZHJzL2Uyb0RvYy54bWysVFFPGzEMfp+0/xDlfVxbWjZOXFEHYppU&#10;ARpMPKe5hEYkcZakvet+/ZzcXSmMF6a93DnxZzu2P/vsvDWabIUPCmxFx0cjSoTlUCv7WNGf91ef&#10;vlASIrM102BFRXci0PP5xw9njSvFBNaga+EJOrGhbFxF1zG6sigCXwvDwhE4YVEpwRsW8egfi9qz&#10;Br0bXUxGo5OiAV87D1yEgLeXnZLOs38pBY83UgYRia4ovi3mr8/fVfoW8zNWPnrm1or3z2D/8ArD&#10;lMWge1eXLDKy8eovV0ZxDwFkPOJgCpBScZFzwGzGo1fZ3K2ZEzkXLE5w+zKF/+eWX29vPVF1RScT&#10;bJVlBpt0L9pIvkJL0h1WqHGhROCdQ2hsUYGdztkGtwT+FBBSHGA6g4DoVJFWepP+mCtBQ2zCbl/4&#10;FIfj5el4Oh2hhqNqcvx5epobUzwbOx/iNwGGJKGiHvuaH8C2yxBTeFYOkBQrgFb1ldI6HxKXxIX2&#10;ZMuQBTqOU05o8QKlLWkqenI8G2XHFpJ5h9M2uRGZTX24lG2XYJbiTouE0faHkFjNnOcbsRnnwu7j&#10;Z3RCSQz1HsMe//yq9xh3eaBFjgw27o2NsuC7vr4sWf00lEx2+L7focs7lSC2qzbTaDYbGLOCeoeE&#10;8dANXXD8SmH3lizEW+ZxyrDhuDniDX6kBqw+9BIla/C/37pPeCQ/ailpcGorGn5tmBeU6O8WxyIT&#10;Ccc8H6azzxOM4Q81q0ON3ZgLQEqMcUc5nsWEj3oQpQfzgAtmkaKiilmOsSsaB/EidrsEFxQXi0UG&#10;4WA7Fpf2zvFhThI379sH5l1P4IjMv4Zhvln5iscdNjXIwmITQapM8lTorqp9A3ApZCb3CyxtncNz&#10;Rj2v2fkfAAAA//8DAFBLAwQUAAYACAAAACEAvc/VduAAAAAJAQAADwAAAGRycy9kb3ducmV2Lnht&#10;bEyPMW/CMBCF90r9D9ZV6oKKQ4ASpXFQVRUJBoamLGwmviZR43NkG0j/fa9Tme5O7+nd94r1aHtx&#10;QR86Rwpm0wQEUu1MR42Cw+fmKQMRoiaje0eo4AcDrMv7u0Lnxl3pAy9VbASHUMi1gjbGIZcy1C1a&#10;HaZuQGLty3mrI5++kcbrK4fbXqZJ8iyt7og/tHrAtxbr7+psFezDcTs5+u1mUgUjd4j7990sKvX4&#10;ML6+gIg4xn8z/OEzOpTMdHJnMkH0ChbzjLtEBfMlTzYss5SXk4JVugBZFvK2QfkLAAD//wMAUEsB&#10;Ai0AFAAGAAgAAAAhALaDOJL+AAAA4QEAABMAAAAAAAAAAAAAAAAAAAAAAFtDb250ZW50X1R5cGVz&#10;XS54bWxQSwECLQAUAAYACAAAACEAOP0h/9YAAACUAQAACwAAAAAAAAAAAAAAAAAvAQAAX3JlbHMv&#10;LnJlbHNQSwECLQAUAAYACAAAACEAOfO9aJkCAACuBQAADgAAAAAAAAAAAAAAAAAuAgAAZHJzL2Uy&#10;b0RvYy54bWxQSwECLQAUAAYACAAAACEAvc/VduAAAAAJAQAADwAAAAAAAAAAAAAAAADzBAAAZHJz&#10;L2Rvd25yZXYueG1sUEsFBgAAAAAEAAQA8wAAAAAGAAAAAA==&#10;" o:allowoverlap="f" fillcolor="white [3201]" stroked="f" strokeweight=".5pt">
                <v:path arrowok="t"/>
                <v:textbox>
                  <w:txbxContent>
                    <w:p w:rsidR="00FC27E9" w:rsidRDefault="00FC27E9" w:rsidP="00FC27E9">
                      <w:pPr>
                        <w:ind w:right="60"/>
                        <w:rPr>
                          <w:rFonts w:asciiTheme="minorHAnsi" w:hAnsiTheme="minorHAnsi"/>
                          <w:sz w:val="20"/>
                          <w:szCs w:val="20"/>
                        </w:rPr>
                      </w:pPr>
                      <w:hyperlink w:anchor="TOC" w:history="1">
                        <w:r>
                          <w:rPr>
                            <w:rStyle w:val="Hyperlink"/>
                            <w:sz w:val="20"/>
                            <w:szCs w:val="20"/>
                          </w:rPr>
                          <w:t>Back to TOC</w:t>
                        </w:r>
                      </w:hyperlink>
                    </w:p>
                  </w:txbxContent>
                </v:textbox>
                <w10:wrap anchorx="margin" anchory="margin"/>
                <w10:anchorlock/>
              </v:shape>
            </w:pict>
          </mc:Fallback>
        </mc:AlternateContent>
      </w:r>
    </w:p>
    <w:sectPr w:rsidR="009B2F9B" w:rsidSect="00A475FE">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546F" w:rsidRDefault="0009546F" w:rsidP="009B2F9B">
      <w:pPr>
        <w:spacing w:after="0" w:line="240" w:lineRule="auto"/>
      </w:pPr>
      <w:r>
        <w:separator/>
      </w:r>
    </w:p>
  </w:endnote>
  <w:endnote w:type="continuationSeparator" w:id="0">
    <w:p w:rsidR="0009546F" w:rsidRDefault="0009546F" w:rsidP="009B2F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W1)">
    <w:altName w:val="Times New Roman"/>
    <w:charset w:val="00"/>
    <w:family w:val="roman"/>
    <w:pitch w:val="variable"/>
    <w:sig w:usb0="20002A87" w:usb1="80000000" w:usb2="00000008"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9013152"/>
      <w:docPartObj>
        <w:docPartGallery w:val="Page Numbers (Bottom of Page)"/>
        <w:docPartUnique/>
      </w:docPartObj>
    </w:sdtPr>
    <w:sdtEndPr>
      <w:rPr>
        <w:noProof/>
        <w:sz w:val="20"/>
        <w:szCs w:val="20"/>
      </w:rPr>
    </w:sdtEndPr>
    <w:sdtContent>
      <w:p w:rsidR="0009546F" w:rsidRPr="00793D64" w:rsidRDefault="0009546F" w:rsidP="00A475FE">
        <w:pPr>
          <w:pStyle w:val="Footer"/>
          <w:jc w:val="right"/>
          <w:rPr>
            <w:sz w:val="20"/>
            <w:szCs w:val="20"/>
          </w:rPr>
        </w:pPr>
        <w:r w:rsidRPr="00793D64">
          <w:rPr>
            <w:sz w:val="20"/>
            <w:szCs w:val="20"/>
          </w:rPr>
          <w:fldChar w:fldCharType="begin"/>
        </w:r>
        <w:r w:rsidRPr="00793D64">
          <w:rPr>
            <w:sz w:val="20"/>
            <w:szCs w:val="20"/>
          </w:rPr>
          <w:instrText xml:space="preserve"> PAGE   \* MERGEFORMAT </w:instrText>
        </w:r>
        <w:r w:rsidRPr="00793D64">
          <w:rPr>
            <w:sz w:val="20"/>
            <w:szCs w:val="20"/>
          </w:rPr>
          <w:fldChar w:fldCharType="separate"/>
        </w:r>
        <w:r w:rsidR="00FC27E9">
          <w:rPr>
            <w:noProof/>
            <w:sz w:val="20"/>
            <w:szCs w:val="20"/>
          </w:rPr>
          <w:t>21</w:t>
        </w:r>
        <w:r w:rsidRPr="00793D64">
          <w:rPr>
            <w:noProof/>
            <w:sz w:val="20"/>
            <w:szCs w:val="20"/>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546F" w:rsidRDefault="0009546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4331080"/>
      <w:docPartObj>
        <w:docPartGallery w:val="Page Numbers (Bottom of Page)"/>
        <w:docPartUnique/>
      </w:docPartObj>
    </w:sdtPr>
    <w:sdtEndPr>
      <w:rPr>
        <w:noProof/>
        <w:sz w:val="20"/>
        <w:szCs w:val="20"/>
      </w:rPr>
    </w:sdtEndPr>
    <w:sdtContent>
      <w:p w:rsidR="0009546F" w:rsidRPr="00F873D3" w:rsidRDefault="0009546F" w:rsidP="00A475FE">
        <w:pPr>
          <w:pStyle w:val="Footer"/>
          <w:jc w:val="right"/>
          <w:rPr>
            <w:sz w:val="20"/>
            <w:szCs w:val="20"/>
          </w:rPr>
        </w:pPr>
        <w:r w:rsidRPr="00F873D3">
          <w:rPr>
            <w:sz w:val="20"/>
            <w:szCs w:val="20"/>
          </w:rPr>
          <w:fldChar w:fldCharType="begin"/>
        </w:r>
        <w:r w:rsidRPr="00F873D3">
          <w:rPr>
            <w:sz w:val="20"/>
            <w:szCs w:val="20"/>
          </w:rPr>
          <w:instrText xml:space="preserve"> PAGE   \* MERGEFORMAT </w:instrText>
        </w:r>
        <w:r w:rsidRPr="00F873D3">
          <w:rPr>
            <w:sz w:val="20"/>
            <w:szCs w:val="20"/>
          </w:rPr>
          <w:fldChar w:fldCharType="separate"/>
        </w:r>
        <w:r w:rsidR="00FC27E9">
          <w:rPr>
            <w:noProof/>
            <w:sz w:val="20"/>
            <w:szCs w:val="20"/>
          </w:rPr>
          <w:t>56</w:t>
        </w:r>
        <w:r w:rsidRPr="00F873D3">
          <w:rPr>
            <w:noProof/>
            <w:sz w:val="20"/>
            <w:szCs w:val="20"/>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546F" w:rsidRDefault="0009546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546F" w:rsidRDefault="0009546F" w:rsidP="009B2F9B">
      <w:pPr>
        <w:spacing w:after="0" w:line="240" w:lineRule="auto"/>
      </w:pPr>
      <w:r>
        <w:separator/>
      </w:r>
    </w:p>
  </w:footnote>
  <w:footnote w:type="continuationSeparator" w:id="0">
    <w:p w:rsidR="0009546F" w:rsidRDefault="0009546F" w:rsidP="009B2F9B">
      <w:pPr>
        <w:spacing w:after="0" w:line="240" w:lineRule="auto"/>
      </w:pPr>
      <w:r>
        <w:continuationSeparator/>
      </w:r>
    </w:p>
  </w:footnote>
  <w:footnote w:id="1">
    <w:p w:rsidR="0009546F" w:rsidRPr="00DA6CEC" w:rsidRDefault="0009546F" w:rsidP="00BE5463">
      <w:pPr>
        <w:pStyle w:val="FootnoteText"/>
        <w:spacing w:after="0" w:line="240" w:lineRule="auto"/>
        <w:rPr>
          <w:rFonts w:asciiTheme="minorHAnsi" w:hAnsiTheme="minorHAnsi"/>
        </w:rPr>
      </w:pPr>
      <w:r w:rsidRPr="00DA6CEC">
        <w:rPr>
          <w:rStyle w:val="FootnoteReference"/>
          <w:rFonts w:asciiTheme="minorHAnsi" w:hAnsiTheme="minorHAnsi"/>
        </w:rPr>
        <w:footnoteRef/>
      </w:r>
      <w:r w:rsidRPr="00DA6CEC">
        <w:rPr>
          <w:rFonts w:asciiTheme="minorHAnsi" w:hAnsiTheme="minorHAnsi"/>
        </w:rPr>
        <w:t xml:space="preserve">AP 42, Fifth Edition, Volume I Chapter 7: Liquid Storage Tanks  </w:t>
      </w:r>
      <w:hyperlink r:id="rId1" w:history="1">
        <w:r w:rsidRPr="00DA6CEC">
          <w:rPr>
            <w:rStyle w:val="Hyperlink"/>
            <w:rFonts w:asciiTheme="minorHAnsi" w:hAnsiTheme="minorHAnsi"/>
          </w:rPr>
          <w:t>https://www3.epa.gov/ttnchie1/ap42/ch07/</w:t>
        </w:r>
      </w:hyperlink>
    </w:p>
  </w:footnote>
  <w:footnote w:id="2">
    <w:p w:rsidR="0009546F" w:rsidRPr="00DA6CEC" w:rsidRDefault="0009546F" w:rsidP="00BE5463">
      <w:pPr>
        <w:pStyle w:val="FootnoteText"/>
        <w:spacing w:after="0" w:line="240" w:lineRule="auto"/>
        <w:rPr>
          <w:rFonts w:asciiTheme="minorHAnsi" w:hAnsiTheme="minorHAnsi"/>
        </w:rPr>
      </w:pPr>
      <w:r w:rsidRPr="00DA6CEC">
        <w:rPr>
          <w:rStyle w:val="FootnoteReference"/>
          <w:rFonts w:asciiTheme="minorHAnsi" w:hAnsiTheme="minorHAnsi"/>
        </w:rPr>
        <w:footnoteRef/>
      </w:r>
      <w:r w:rsidRPr="00DA6CEC">
        <w:rPr>
          <w:rFonts w:asciiTheme="minorHAnsi" w:hAnsiTheme="minorHAnsi"/>
        </w:rPr>
        <w:t xml:space="preserve"> RULE 1178. FURTHER REDUCTIONS OF VOC EMISSIONS FROM STORAGE TANKS AT PETROLEUM FACILITIES (Adopted December 21, 2001)(Amended April 7, 2006) </w:t>
      </w:r>
      <w:hyperlink r:id="rId2" w:history="1">
        <w:r w:rsidRPr="00DA6CEC">
          <w:rPr>
            <w:rStyle w:val="Hyperlink"/>
            <w:rFonts w:asciiTheme="minorHAnsi" w:hAnsiTheme="minorHAnsi"/>
          </w:rPr>
          <w:t>http://www.aqmd.gov/docs/default-source/rule-book/reg-xi/rule-1178.pdf</w:t>
        </w:r>
      </w:hyperlink>
    </w:p>
  </w:footnote>
  <w:footnote w:id="3">
    <w:p w:rsidR="0009546F" w:rsidRPr="00DA6CEC" w:rsidRDefault="0009546F" w:rsidP="00BE5463">
      <w:pPr>
        <w:pStyle w:val="FootnoteText"/>
        <w:spacing w:after="0" w:line="240" w:lineRule="auto"/>
        <w:rPr>
          <w:rFonts w:asciiTheme="minorHAnsi" w:hAnsiTheme="minorHAnsi"/>
        </w:rPr>
      </w:pPr>
      <w:r w:rsidRPr="00DA6CEC">
        <w:rPr>
          <w:rStyle w:val="FootnoteReference"/>
          <w:rFonts w:asciiTheme="minorHAnsi" w:hAnsiTheme="minorHAnsi"/>
        </w:rPr>
        <w:footnoteRef/>
      </w:r>
      <w:r w:rsidRPr="00DA6CEC">
        <w:rPr>
          <w:rFonts w:asciiTheme="minorHAnsi" w:hAnsiTheme="minorHAnsi"/>
        </w:rPr>
        <w:t xml:space="preserve"> </w:t>
      </w:r>
      <w:hyperlink r:id="rId3" w:history="1">
        <w:r w:rsidRPr="00DA6CEC">
          <w:rPr>
            <w:rStyle w:val="Hyperlink"/>
            <w:rFonts w:asciiTheme="minorHAnsi" w:hAnsiTheme="minorHAnsi"/>
          </w:rPr>
          <w:t>http://www.otcair.org/upload/Interest/StationaryArea%20Sources/VOC%20OTC%20White%20paper.doc</w:t>
        </w:r>
      </w:hyperlink>
    </w:p>
  </w:footnote>
  <w:footnote w:id="4">
    <w:p w:rsidR="0009546F" w:rsidRPr="00DA6CEC" w:rsidRDefault="0009546F" w:rsidP="00BE5463">
      <w:pPr>
        <w:pStyle w:val="FootnoteText"/>
        <w:spacing w:after="0" w:line="240" w:lineRule="auto"/>
        <w:rPr>
          <w:rFonts w:asciiTheme="minorHAnsi" w:hAnsiTheme="minorHAnsi"/>
        </w:rPr>
      </w:pPr>
      <w:r w:rsidRPr="00DA6CEC">
        <w:rPr>
          <w:rStyle w:val="FootnoteReference"/>
          <w:rFonts w:asciiTheme="minorHAnsi" w:hAnsiTheme="minorHAnsi"/>
        </w:rPr>
        <w:footnoteRef/>
      </w:r>
      <w:r w:rsidRPr="00DA6CEC">
        <w:rPr>
          <w:rFonts w:asciiTheme="minorHAnsi" w:hAnsiTheme="minorHAnsi"/>
        </w:rPr>
        <w:t xml:space="preserve"> </w:t>
      </w:r>
      <w:hyperlink r:id="rId4" w:history="1">
        <w:r w:rsidRPr="00DA6CEC">
          <w:rPr>
            <w:rStyle w:val="Hyperlink"/>
            <w:rFonts w:asciiTheme="minorHAnsi" w:hAnsiTheme="minorHAnsi"/>
          </w:rPr>
          <w:t>http://www.otcair.org/upload/Documents/Model%20Rules/OTC%20State%202001%20Rule%20adoption%20090519%20NY_1.pdf</w:t>
        </w:r>
      </w:hyperlink>
      <w:r w:rsidRPr="00DA6CEC">
        <w:rPr>
          <w:rFonts w:asciiTheme="minorHAnsi" w:hAnsiTheme="minorHAnsi"/>
        </w:rPr>
        <w:t xml:space="preserve"> </w:t>
      </w:r>
    </w:p>
  </w:footnote>
  <w:footnote w:id="5">
    <w:p w:rsidR="0009546F" w:rsidRPr="00DA6CEC" w:rsidRDefault="0009546F" w:rsidP="00BE5463">
      <w:pPr>
        <w:pStyle w:val="CM22"/>
        <w:spacing w:line="240" w:lineRule="auto"/>
        <w:jc w:val="both"/>
        <w:rPr>
          <w:rFonts w:asciiTheme="minorHAnsi" w:hAnsiTheme="minorHAnsi"/>
          <w:sz w:val="20"/>
          <w:szCs w:val="20"/>
        </w:rPr>
      </w:pPr>
      <w:r w:rsidRPr="00DA6CEC">
        <w:rPr>
          <w:rStyle w:val="FootnoteReference"/>
          <w:rFonts w:asciiTheme="minorHAnsi" w:hAnsiTheme="minorHAnsi"/>
          <w:sz w:val="20"/>
          <w:szCs w:val="20"/>
        </w:rPr>
        <w:footnoteRef/>
      </w:r>
      <w:r w:rsidRPr="00DA6CEC">
        <w:rPr>
          <w:rFonts w:asciiTheme="minorHAnsi" w:hAnsiTheme="minorHAnsi"/>
          <w:sz w:val="20"/>
          <w:szCs w:val="20"/>
        </w:rPr>
        <w:t xml:space="preserve"> </w:t>
      </w:r>
      <w:hyperlink r:id="rId5" w:history="1">
        <w:r w:rsidRPr="00DA6CEC">
          <w:rPr>
            <w:rStyle w:val="Hyperlink"/>
            <w:rFonts w:asciiTheme="minorHAnsi" w:hAnsiTheme="minorHAnsi"/>
            <w:sz w:val="20"/>
            <w:szCs w:val="20"/>
          </w:rPr>
          <w:t>http://www.otcair.org/upload/Documents/Formal%20Actions/MOU_adoption_of_new_regional_controls[1].pdf</w:t>
        </w:r>
      </w:hyperlink>
      <w:r w:rsidRPr="00DA6CEC">
        <w:rPr>
          <w:rFonts w:asciiTheme="minorHAnsi" w:hAnsiTheme="minorHAnsi"/>
          <w:sz w:val="20"/>
          <w:szCs w:val="20"/>
        </w:rPr>
        <w:t xml:space="preserve"> </w:t>
      </w:r>
    </w:p>
  </w:footnote>
  <w:footnote w:id="6">
    <w:p w:rsidR="0009546F" w:rsidRPr="00DA6CEC" w:rsidRDefault="0009546F" w:rsidP="00BE5463">
      <w:pPr>
        <w:pStyle w:val="FootnoteText"/>
        <w:spacing w:after="0" w:line="240" w:lineRule="auto"/>
        <w:rPr>
          <w:rFonts w:asciiTheme="minorHAnsi" w:hAnsiTheme="minorHAnsi"/>
        </w:rPr>
      </w:pPr>
      <w:r w:rsidRPr="00DA6CEC">
        <w:rPr>
          <w:rStyle w:val="FootnoteReference"/>
          <w:rFonts w:asciiTheme="minorHAnsi" w:hAnsiTheme="minorHAnsi"/>
        </w:rPr>
        <w:footnoteRef/>
      </w:r>
      <w:r w:rsidRPr="00DA6CEC">
        <w:rPr>
          <w:rFonts w:asciiTheme="minorHAnsi" w:hAnsiTheme="minorHAnsi"/>
        </w:rPr>
        <w:t xml:space="preserve">  </w:t>
      </w:r>
      <w:hyperlink r:id="rId6" w:history="1">
        <w:r w:rsidRPr="00DA6CEC">
          <w:rPr>
            <w:rStyle w:val="Hyperlink"/>
            <w:rFonts w:asciiTheme="minorHAnsi" w:hAnsiTheme="minorHAnsi"/>
          </w:rPr>
          <w:t>http://www.otcair.org/upload/Documents/Model%20Rules/OTC%20CP%20Model%20Rule%202012%20CLEAN_vs2010.2012%2005%2010.pdf</w:t>
        </w:r>
      </w:hyperlink>
    </w:p>
  </w:footnote>
  <w:footnote w:id="7">
    <w:p w:rsidR="0009546F" w:rsidRPr="00DA6CEC" w:rsidRDefault="0009546F" w:rsidP="00BE5463">
      <w:pPr>
        <w:spacing w:after="0" w:line="240" w:lineRule="auto"/>
        <w:jc w:val="both"/>
        <w:rPr>
          <w:rFonts w:asciiTheme="minorHAnsi" w:hAnsiTheme="minorHAnsi"/>
          <w:sz w:val="20"/>
          <w:szCs w:val="20"/>
        </w:rPr>
      </w:pPr>
      <w:r w:rsidRPr="00DA6CEC">
        <w:rPr>
          <w:rStyle w:val="FootnoteReference"/>
          <w:rFonts w:asciiTheme="minorHAnsi" w:hAnsiTheme="minorHAnsi"/>
          <w:sz w:val="20"/>
          <w:szCs w:val="20"/>
        </w:rPr>
        <w:footnoteRef/>
      </w:r>
      <w:r w:rsidRPr="00DA6CEC">
        <w:rPr>
          <w:rFonts w:asciiTheme="minorHAnsi" w:hAnsiTheme="minorHAnsi"/>
          <w:sz w:val="20"/>
          <w:szCs w:val="20"/>
        </w:rPr>
        <w:t xml:space="preserve"> </w:t>
      </w:r>
      <w:hyperlink r:id="rId7" w:history="1">
        <w:r w:rsidRPr="00DA6CEC">
          <w:rPr>
            <w:rStyle w:val="Hyperlink"/>
            <w:rFonts w:asciiTheme="minorHAnsi" w:hAnsiTheme="minorHAnsi"/>
            <w:sz w:val="20"/>
            <w:szCs w:val="20"/>
          </w:rPr>
          <w:t>http://www.otcair.org/upload/Documents/Model%20Rules/OTC%20CP%20Model%20Rule%20Final%20Clean%202013%20Revision%20Clean.pdf</w:t>
        </w:r>
      </w:hyperlink>
    </w:p>
  </w:footnote>
  <w:footnote w:id="8">
    <w:p w:rsidR="0009546F" w:rsidRPr="00DA6CEC" w:rsidRDefault="0009546F" w:rsidP="00BE5463">
      <w:pPr>
        <w:pStyle w:val="FootnoteText"/>
        <w:spacing w:after="0" w:line="240" w:lineRule="auto"/>
        <w:rPr>
          <w:rFonts w:asciiTheme="minorHAnsi" w:hAnsiTheme="minorHAnsi"/>
        </w:rPr>
      </w:pPr>
      <w:r w:rsidRPr="00DA6CEC">
        <w:rPr>
          <w:rStyle w:val="FootnoteReference"/>
          <w:rFonts w:asciiTheme="minorHAnsi" w:hAnsiTheme="minorHAnsi"/>
        </w:rPr>
        <w:footnoteRef/>
      </w:r>
      <w:r w:rsidRPr="00DA6CEC">
        <w:rPr>
          <w:rFonts w:asciiTheme="minorHAnsi" w:hAnsiTheme="minorHAnsi"/>
        </w:rPr>
        <w:t xml:space="preserve"> </w:t>
      </w:r>
      <w:hyperlink r:id="rId8" w:history="1">
        <w:r w:rsidRPr="00DA6CEC">
          <w:rPr>
            <w:rStyle w:val="Hyperlink"/>
            <w:rFonts w:asciiTheme="minorHAnsi" w:hAnsiTheme="minorHAnsi"/>
          </w:rPr>
          <w:t>http://www.marama.org/visibility/Inventory%20Summary/2002EmissionsInventory.htm</w:t>
        </w:r>
      </w:hyperlink>
    </w:p>
  </w:footnote>
  <w:footnote w:id="9">
    <w:p w:rsidR="0009546F" w:rsidRPr="00DA6CEC" w:rsidRDefault="0009546F" w:rsidP="00BE5463">
      <w:pPr>
        <w:pStyle w:val="FootnoteText"/>
        <w:spacing w:after="0" w:line="240" w:lineRule="auto"/>
        <w:rPr>
          <w:rFonts w:asciiTheme="minorHAnsi" w:hAnsiTheme="minorHAnsi"/>
        </w:rPr>
      </w:pPr>
      <w:r w:rsidRPr="00DA6CEC">
        <w:rPr>
          <w:rStyle w:val="FootnoteReference"/>
          <w:rFonts w:asciiTheme="minorHAnsi" w:hAnsiTheme="minorHAnsi"/>
        </w:rPr>
        <w:footnoteRef/>
      </w:r>
      <w:r w:rsidRPr="00DA6CEC">
        <w:rPr>
          <w:rFonts w:asciiTheme="minorHAnsi" w:hAnsiTheme="minorHAnsi"/>
        </w:rPr>
        <w:t xml:space="preserve"> Alternative Control Techniques Document “Industrial Cleaning Solvents”, February 1994, EPA-453/R-94-015, NTIS PB94-181-694</w:t>
      </w:r>
    </w:p>
  </w:footnote>
  <w:footnote w:id="10">
    <w:p w:rsidR="0009546F" w:rsidRPr="00DA6CEC" w:rsidRDefault="0009546F" w:rsidP="00BE5463">
      <w:pPr>
        <w:pStyle w:val="FootnoteText"/>
        <w:spacing w:after="0" w:line="240" w:lineRule="auto"/>
        <w:rPr>
          <w:rFonts w:asciiTheme="minorHAnsi" w:hAnsiTheme="minorHAnsi"/>
        </w:rPr>
      </w:pPr>
      <w:r w:rsidRPr="00DA6CEC">
        <w:rPr>
          <w:rStyle w:val="FootnoteReference"/>
          <w:rFonts w:asciiTheme="minorHAnsi" w:hAnsiTheme="minorHAnsi"/>
        </w:rPr>
        <w:footnoteRef/>
      </w:r>
      <w:r w:rsidRPr="00DA6CEC">
        <w:rPr>
          <w:rFonts w:asciiTheme="minorHAnsi" w:hAnsiTheme="minorHAnsi"/>
        </w:rPr>
        <w:t xml:space="preserve"> Control Techniques Guidelines for “Industrial Solvent Cleaning “, EPA 453/R-06-001, September 2006</w:t>
      </w:r>
    </w:p>
  </w:footnote>
  <w:footnote w:id="11">
    <w:p w:rsidR="0009546F" w:rsidRPr="00DA6CEC" w:rsidRDefault="0009546F" w:rsidP="00BE5463">
      <w:pPr>
        <w:pStyle w:val="FootnoteText"/>
        <w:spacing w:after="0" w:line="240" w:lineRule="auto"/>
        <w:rPr>
          <w:rFonts w:asciiTheme="minorHAnsi" w:hAnsiTheme="minorHAnsi"/>
        </w:rPr>
      </w:pPr>
      <w:r w:rsidRPr="00DA6CEC">
        <w:rPr>
          <w:rStyle w:val="FootnoteReference"/>
          <w:rFonts w:asciiTheme="minorHAnsi" w:hAnsiTheme="minorHAnsi"/>
        </w:rPr>
        <w:footnoteRef/>
      </w:r>
      <w:r w:rsidRPr="00DA6CEC">
        <w:rPr>
          <w:rFonts w:asciiTheme="minorHAnsi" w:hAnsiTheme="minorHAnsi"/>
        </w:rPr>
        <w:t xml:space="preserve"> AP-42 Fifth Edition, Volume 1, Chapter 4 “Evaporation Source Losses”, Section 4.6 “Solvent Degreasing”, April 1981.</w:t>
      </w:r>
    </w:p>
  </w:footnote>
  <w:footnote w:id="12">
    <w:p w:rsidR="0009546F" w:rsidRPr="00DA6CEC" w:rsidRDefault="0009546F" w:rsidP="00BE5463">
      <w:pPr>
        <w:pStyle w:val="FootnoteText"/>
        <w:spacing w:after="0" w:line="240" w:lineRule="auto"/>
        <w:rPr>
          <w:rFonts w:asciiTheme="minorHAnsi" w:hAnsiTheme="minorHAnsi"/>
        </w:rPr>
      </w:pPr>
      <w:r w:rsidRPr="00DA6CEC">
        <w:rPr>
          <w:rStyle w:val="FootnoteReference"/>
          <w:rFonts w:asciiTheme="minorHAnsi" w:hAnsiTheme="minorHAnsi"/>
        </w:rPr>
        <w:footnoteRef/>
      </w:r>
      <w:r w:rsidRPr="00DA6CEC">
        <w:rPr>
          <w:rFonts w:asciiTheme="minorHAnsi" w:hAnsiTheme="minorHAnsi"/>
        </w:rPr>
        <w:t xml:space="preserve"> “Staff Report for Proposed Amended Rule 1122 – Solvent Degreasers” by Rizaldy Calungcagin, 2001.</w:t>
      </w:r>
    </w:p>
  </w:footnote>
  <w:footnote w:id="13">
    <w:p w:rsidR="0009546F" w:rsidRPr="00DA6CEC" w:rsidRDefault="0009546F" w:rsidP="00BE5463">
      <w:pPr>
        <w:pStyle w:val="FootnoteText"/>
        <w:spacing w:after="0" w:line="240" w:lineRule="auto"/>
        <w:rPr>
          <w:rFonts w:asciiTheme="minorHAnsi" w:hAnsiTheme="minorHAnsi"/>
        </w:rPr>
      </w:pPr>
      <w:r w:rsidRPr="00DA6CEC">
        <w:rPr>
          <w:rStyle w:val="FootnoteReference"/>
          <w:rFonts w:asciiTheme="minorHAnsi" w:hAnsiTheme="minorHAnsi"/>
        </w:rPr>
        <w:footnoteRef/>
      </w:r>
      <w:r w:rsidRPr="00DA6CEC">
        <w:rPr>
          <w:rStyle w:val="FootnoteReference"/>
          <w:rFonts w:asciiTheme="minorHAnsi" w:hAnsiTheme="minorHAnsi"/>
        </w:rPr>
        <w:footnoteRef/>
      </w:r>
      <w:r w:rsidRPr="00DA6CEC">
        <w:rPr>
          <w:rFonts w:asciiTheme="minorHAnsi" w:hAnsiTheme="minorHAnsi"/>
        </w:rPr>
        <w:t xml:space="preserve"> EPA May 3, 2007, FR 72 (No. 85) 40 CFR Part 63: Final rule - National Air Emission Standards for Hazardous Air Pollutants: Halogenated Solvent Cleaning.  </w:t>
      </w:r>
      <w:hyperlink r:id="rId9" w:history="1">
        <w:r w:rsidRPr="00DA6CEC">
          <w:rPr>
            <w:rStyle w:val="Hyperlink"/>
            <w:rFonts w:asciiTheme="minorHAnsi" w:hAnsiTheme="minorHAnsi"/>
          </w:rPr>
          <w:t>https://www3.epa.gov/ttn/caaa/t3/fr_notices/degreasfinalfr2007.pdf</w:t>
        </w:r>
      </w:hyperlink>
    </w:p>
  </w:footnote>
  <w:footnote w:id="14">
    <w:p w:rsidR="0009546F" w:rsidRPr="00DA6CEC" w:rsidRDefault="0009546F" w:rsidP="00BE5463">
      <w:pPr>
        <w:pStyle w:val="FootnoteText"/>
        <w:spacing w:after="0" w:line="240" w:lineRule="auto"/>
        <w:rPr>
          <w:rFonts w:asciiTheme="minorHAnsi" w:hAnsiTheme="minorHAnsi"/>
        </w:rPr>
      </w:pPr>
      <w:r w:rsidRPr="00DA6CEC">
        <w:rPr>
          <w:rStyle w:val="FootnoteReference"/>
          <w:rFonts w:asciiTheme="minorHAnsi" w:hAnsiTheme="minorHAnsi"/>
        </w:rPr>
        <w:footnoteRef/>
      </w:r>
      <w:r w:rsidRPr="00DA6CEC">
        <w:rPr>
          <w:rFonts w:asciiTheme="minorHAnsi" w:hAnsiTheme="minorHAnsi"/>
        </w:rPr>
        <w:t xml:space="preserve"> Pechan Report on Control Measure Development Support Analysis of Ozone Transport Commission Model Rules, March 31 2001. </w:t>
      </w:r>
      <w:hyperlink r:id="rId10" w:history="1">
        <w:r w:rsidRPr="00DA6CEC">
          <w:rPr>
            <w:rStyle w:val="Hyperlink"/>
            <w:rFonts w:asciiTheme="minorHAnsi" w:hAnsiTheme="minorHAnsi"/>
          </w:rPr>
          <w:t>http://www.ct.gov/deep/lib/deep/air/ozone/ozone_sip_revision/pec.pdf</w:t>
        </w:r>
      </w:hyperlink>
    </w:p>
  </w:footnote>
  <w:footnote w:id="15">
    <w:p w:rsidR="0009546F" w:rsidRPr="00DA6CEC" w:rsidRDefault="0009546F" w:rsidP="00BE5463">
      <w:pPr>
        <w:pStyle w:val="FootnoteText"/>
        <w:spacing w:after="0" w:line="240" w:lineRule="auto"/>
        <w:rPr>
          <w:rFonts w:asciiTheme="minorHAnsi" w:hAnsiTheme="minorHAnsi"/>
        </w:rPr>
      </w:pPr>
      <w:r w:rsidRPr="00DA6CEC">
        <w:rPr>
          <w:rStyle w:val="FootnoteReference"/>
          <w:rFonts w:asciiTheme="minorHAnsi" w:hAnsiTheme="minorHAnsi"/>
        </w:rPr>
        <w:footnoteRef/>
      </w:r>
      <w:r w:rsidRPr="00DA6CEC">
        <w:rPr>
          <w:rFonts w:asciiTheme="minorHAnsi" w:hAnsiTheme="minorHAnsi"/>
        </w:rPr>
        <w:t xml:space="preserve"> Ali Mirzakhalili (DE) in OTC Stationary Area Sources presentation, 03/12/2012. </w:t>
      </w:r>
      <w:hyperlink r:id="rId11" w:history="1">
        <w:r w:rsidRPr="00DA6CEC">
          <w:rPr>
            <w:rStyle w:val="Hyperlink"/>
            <w:rFonts w:asciiTheme="minorHAnsi" w:hAnsiTheme="minorHAnsi"/>
          </w:rPr>
          <w:t>http://www.otcair.org/upload/Documents/Meeting%20Materials/OTC%20SAS%20Committee%20-%20Annual%20Meeting%202012.pdf</w:t>
        </w:r>
      </w:hyperlink>
    </w:p>
  </w:footnote>
  <w:footnote w:id="16">
    <w:p w:rsidR="0009546F" w:rsidRPr="00DA6CEC" w:rsidRDefault="0009546F" w:rsidP="00BE5463">
      <w:pPr>
        <w:pStyle w:val="FootnoteText"/>
        <w:spacing w:after="0" w:line="240" w:lineRule="auto"/>
        <w:rPr>
          <w:rFonts w:asciiTheme="minorHAnsi" w:hAnsiTheme="minorHAnsi"/>
        </w:rPr>
      </w:pPr>
      <w:r w:rsidRPr="00DA6CEC">
        <w:rPr>
          <w:rStyle w:val="FootnoteReference"/>
          <w:rFonts w:asciiTheme="minorHAnsi" w:hAnsiTheme="minorHAnsi"/>
        </w:rPr>
        <w:footnoteRef/>
      </w:r>
      <w:r w:rsidRPr="00DA6CEC">
        <w:rPr>
          <w:rFonts w:asciiTheme="minorHAnsi" w:hAnsiTheme="minorHAnsi"/>
        </w:rPr>
        <w:t xml:space="preserve"> Northeast States for Coordinated Air Use Management (NESCAUM). “Status Report on NOx controls for Gas Turbines, Cement Kilns, Industrial boilers, Internal Combustion Engines Technologies &amp; cost Effectiveness” December, 2000.</w:t>
      </w:r>
    </w:p>
  </w:footnote>
  <w:footnote w:id="17">
    <w:p w:rsidR="0009546F" w:rsidRPr="00DA6CEC" w:rsidRDefault="0009546F" w:rsidP="00BE5463">
      <w:pPr>
        <w:pStyle w:val="FootnoteText"/>
        <w:spacing w:after="0" w:line="240" w:lineRule="auto"/>
        <w:rPr>
          <w:rFonts w:asciiTheme="minorHAnsi" w:hAnsiTheme="minorHAnsi"/>
        </w:rPr>
      </w:pPr>
      <w:r w:rsidRPr="00DA6CEC">
        <w:rPr>
          <w:rStyle w:val="FootnoteReference"/>
          <w:rFonts w:asciiTheme="minorHAnsi" w:hAnsiTheme="minorHAnsi"/>
        </w:rPr>
        <w:footnoteRef/>
      </w:r>
      <w:r w:rsidRPr="00DA6CEC">
        <w:rPr>
          <w:rFonts w:asciiTheme="minorHAnsi" w:hAnsiTheme="minorHAnsi"/>
        </w:rPr>
        <w:t xml:space="preserve"> United States Environmental Protection Agency (EPA). “Technical Bulletin Nitrogen Oxides (NO</w:t>
      </w:r>
      <w:r w:rsidRPr="00DA6CEC">
        <w:rPr>
          <w:rFonts w:asciiTheme="minorHAnsi" w:hAnsiTheme="minorHAnsi"/>
          <w:vertAlign w:val="subscript"/>
        </w:rPr>
        <w:t>x</w:t>
      </w:r>
      <w:r w:rsidRPr="00DA6CEC">
        <w:rPr>
          <w:rFonts w:asciiTheme="minorHAnsi" w:hAnsiTheme="minorHAnsi"/>
        </w:rPr>
        <w:t>), Why and How They are Controlled” EPA 456/F-99-006R. November, 1999.</w:t>
      </w:r>
    </w:p>
  </w:footnote>
  <w:footnote w:id="18">
    <w:p w:rsidR="0009546F" w:rsidRPr="00DA6CEC" w:rsidRDefault="0009546F" w:rsidP="00BE5463">
      <w:pPr>
        <w:pStyle w:val="FootnoteText"/>
        <w:spacing w:after="0" w:line="240" w:lineRule="auto"/>
        <w:rPr>
          <w:rFonts w:asciiTheme="minorHAnsi" w:hAnsiTheme="minorHAnsi"/>
        </w:rPr>
      </w:pPr>
      <w:r w:rsidRPr="00DA6CEC">
        <w:rPr>
          <w:rStyle w:val="FootnoteReference"/>
          <w:rFonts w:asciiTheme="minorHAnsi" w:hAnsiTheme="minorHAnsi"/>
        </w:rPr>
        <w:footnoteRef/>
      </w:r>
      <w:r w:rsidRPr="00DA6CEC">
        <w:rPr>
          <w:rFonts w:asciiTheme="minorHAnsi" w:hAnsiTheme="minorHAnsi"/>
        </w:rPr>
        <w:t xml:space="preserve"> 2007 CAMD database for HEDD units within the OTR provided by MARAMA</w:t>
      </w:r>
    </w:p>
  </w:footnote>
  <w:footnote w:id="19">
    <w:p w:rsidR="0009546F" w:rsidRPr="00DA6CEC" w:rsidRDefault="0009546F" w:rsidP="00BE5463">
      <w:pPr>
        <w:pStyle w:val="FootnoteText"/>
        <w:spacing w:after="0" w:line="240" w:lineRule="auto"/>
        <w:rPr>
          <w:rFonts w:asciiTheme="minorHAnsi" w:hAnsiTheme="minorHAnsi"/>
        </w:rPr>
      </w:pPr>
      <w:r w:rsidRPr="00DA6CEC">
        <w:rPr>
          <w:rStyle w:val="FootnoteReference"/>
          <w:rFonts w:asciiTheme="minorHAnsi" w:hAnsiTheme="minorHAnsi"/>
        </w:rPr>
        <w:footnoteRef/>
      </w:r>
      <w:r w:rsidRPr="00DA6CEC">
        <w:rPr>
          <w:rFonts w:asciiTheme="minorHAnsi" w:hAnsiTheme="minorHAnsi"/>
        </w:rPr>
        <w:t xml:space="preserve"> </w:t>
      </w:r>
      <w:hyperlink r:id="rId12" w:history="1">
        <w:r w:rsidRPr="00DA6CEC">
          <w:rPr>
            <w:rStyle w:val="Hyperlink"/>
            <w:rFonts w:asciiTheme="minorHAnsi" w:hAnsiTheme="minorHAnsi"/>
          </w:rPr>
          <w:t>http://www.state.nj.us/dep/baqp/rapt/final_scs_workgroup_report.pdf</w:t>
        </w:r>
      </w:hyperlink>
      <w:r w:rsidRPr="00DA6CEC">
        <w:rPr>
          <w:rFonts w:asciiTheme="minorHAnsi" w:hAnsiTheme="minorHAnsi"/>
        </w:rPr>
        <w:t xml:space="preserve"> </w:t>
      </w:r>
    </w:p>
  </w:footnote>
  <w:footnote w:id="20">
    <w:p w:rsidR="0009546F" w:rsidRPr="00DA6CEC" w:rsidRDefault="0009546F" w:rsidP="00BE5463">
      <w:pPr>
        <w:pStyle w:val="FootnoteText"/>
        <w:spacing w:after="0" w:line="240" w:lineRule="auto"/>
        <w:rPr>
          <w:rFonts w:asciiTheme="minorHAnsi" w:hAnsiTheme="minorHAnsi"/>
        </w:rPr>
      </w:pPr>
      <w:r w:rsidRPr="00DA6CEC">
        <w:rPr>
          <w:rStyle w:val="FootnoteReference"/>
          <w:rFonts w:asciiTheme="minorHAnsi" w:hAnsiTheme="minorHAnsi"/>
        </w:rPr>
        <w:footnoteRef/>
      </w:r>
      <w:r w:rsidRPr="00DA6CEC">
        <w:rPr>
          <w:rFonts w:asciiTheme="minorHAnsi" w:hAnsiTheme="minorHAnsi"/>
        </w:rPr>
        <w:t xml:space="preserve"> Northeast States for Coordinated Air Use Management (NESCAUM). “Status Report on NOx controls for Gas Turbines, Cement Kilns, Industrial boilers, Internal Combustion Engines Technologies &amp; Cost Effectiveness” December, 2000.</w:t>
      </w:r>
    </w:p>
  </w:footnote>
  <w:footnote w:id="21">
    <w:p w:rsidR="0009546F" w:rsidRPr="00DA6CEC" w:rsidRDefault="0009546F" w:rsidP="00BE5463">
      <w:pPr>
        <w:pStyle w:val="FootnoteText"/>
        <w:spacing w:after="0" w:line="240" w:lineRule="auto"/>
        <w:rPr>
          <w:rFonts w:asciiTheme="minorHAnsi" w:hAnsiTheme="minorHAnsi"/>
        </w:rPr>
      </w:pPr>
      <w:r w:rsidRPr="00DA6CEC">
        <w:rPr>
          <w:rStyle w:val="FootnoteReference"/>
          <w:rFonts w:asciiTheme="minorHAnsi" w:hAnsiTheme="minorHAnsi"/>
        </w:rPr>
        <w:footnoteRef/>
      </w:r>
      <w:r w:rsidRPr="00DA6CEC">
        <w:rPr>
          <w:rFonts w:asciiTheme="minorHAnsi" w:hAnsiTheme="minorHAnsi"/>
        </w:rPr>
        <w:t xml:space="preserve"> </w:t>
      </w:r>
      <w:hyperlink r:id="rId13" w:history="1">
        <w:r w:rsidRPr="00DA6CEC">
          <w:rPr>
            <w:rStyle w:val="Hyperlink"/>
            <w:rFonts w:asciiTheme="minorHAnsi" w:hAnsiTheme="minorHAnsi"/>
          </w:rPr>
          <w:t>http://www.dec.ny.gov/regulations/65983.html</w:t>
        </w:r>
      </w:hyperlink>
      <w:r w:rsidRPr="00DA6CEC">
        <w:rPr>
          <w:rFonts w:asciiTheme="minorHAnsi" w:hAnsiTheme="minorHAnsi"/>
        </w:rPr>
        <w:t xml:space="preserve">  </w:t>
      </w:r>
    </w:p>
  </w:footnote>
  <w:footnote w:id="22">
    <w:p w:rsidR="0009546F" w:rsidRPr="00DA6CEC" w:rsidRDefault="0009546F" w:rsidP="00BE5463">
      <w:pPr>
        <w:pStyle w:val="FootnoteText"/>
        <w:spacing w:after="0" w:line="240" w:lineRule="auto"/>
        <w:rPr>
          <w:rFonts w:asciiTheme="minorHAnsi" w:hAnsiTheme="minorHAnsi"/>
        </w:rPr>
      </w:pPr>
      <w:r w:rsidRPr="00DA6CEC">
        <w:rPr>
          <w:rStyle w:val="FootnoteReference"/>
          <w:rFonts w:asciiTheme="minorHAnsi" w:hAnsiTheme="minorHAnsi"/>
        </w:rPr>
        <w:footnoteRef/>
      </w:r>
      <w:r w:rsidRPr="00DA6CEC">
        <w:rPr>
          <w:rFonts w:asciiTheme="minorHAnsi" w:hAnsiTheme="minorHAnsi"/>
        </w:rPr>
        <w:t xml:space="preserve"> </w:t>
      </w:r>
      <w:hyperlink r:id="rId14" w:history="1">
        <w:r w:rsidRPr="00DA6CEC">
          <w:rPr>
            <w:rStyle w:val="Hyperlink"/>
            <w:rFonts w:asciiTheme="minorHAnsi" w:hAnsiTheme="minorHAnsi"/>
          </w:rPr>
          <w:t>http://www.state.nj.us/dep/aqm/Sub27.pdf</w:t>
        </w:r>
      </w:hyperlink>
    </w:p>
  </w:footnote>
  <w:footnote w:id="23">
    <w:p w:rsidR="0009546F" w:rsidRPr="00DA6CEC" w:rsidRDefault="0009546F" w:rsidP="00BE5463">
      <w:pPr>
        <w:pStyle w:val="FootnoteText"/>
        <w:spacing w:after="0" w:line="240" w:lineRule="auto"/>
        <w:rPr>
          <w:rFonts w:asciiTheme="minorHAnsi" w:hAnsiTheme="minorHAnsi"/>
        </w:rPr>
      </w:pPr>
      <w:r w:rsidRPr="00DA6CEC">
        <w:rPr>
          <w:rStyle w:val="FootnoteReference"/>
          <w:rFonts w:asciiTheme="minorHAnsi" w:hAnsiTheme="minorHAnsi"/>
        </w:rPr>
        <w:footnoteRef/>
      </w:r>
      <w:r w:rsidRPr="00DA6CEC">
        <w:rPr>
          <w:rFonts w:asciiTheme="minorHAnsi" w:hAnsiTheme="minorHAnsi"/>
        </w:rPr>
        <w:t xml:space="preserve"> </w:t>
      </w:r>
      <w:hyperlink r:id="rId15" w:anchor="TopOfPage" w:history="1">
        <w:r w:rsidRPr="00DA6CEC">
          <w:rPr>
            <w:rStyle w:val="Hyperlink"/>
            <w:rFonts w:asciiTheme="minorHAnsi" w:hAnsiTheme="minorHAnsi"/>
          </w:rPr>
          <w:t>http://regulations.delaware.gov/AdminCode/title7/1000/1100/1146.shtml#TopOfPage</w:t>
        </w:r>
      </w:hyperlink>
    </w:p>
  </w:footnote>
  <w:footnote w:id="24">
    <w:p w:rsidR="0009546F" w:rsidRPr="00DA6CEC" w:rsidRDefault="0009546F" w:rsidP="00BE5463">
      <w:pPr>
        <w:pStyle w:val="FootnoteText"/>
        <w:spacing w:after="0" w:line="240" w:lineRule="auto"/>
        <w:rPr>
          <w:rFonts w:asciiTheme="minorHAnsi" w:hAnsiTheme="minorHAnsi"/>
        </w:rPr>
      </w:pPr>
      <w:r w:rsidRPr="00DA6CEC">
        <w:rPr>
          <w:rStyle w:val="FootnoteReference"/>
          <w:rFonts w:asciiTheme="minorHAnsi" w:hAnsiTheme="minorHAnsi"/>
        </w:rPr>
        <w:footnoteRef/>
      </w:r>
      <w:r w:rsidRPr="00DA6CEC">
        <w:rPr>
          <w:rFonts w:asciiTheme="minorHAnsi" w:hAnsiTheme="minorHAnsi"/>
        </w:rPr>
        <w:t xml:space="preserve"> </w:t>
      </w:r>
      <w:hyperlink r:id="rId16" w:anchor="Subtitle11" w:history="1">
        <w:r w:rsidRPr="00DA6CEC">
          <w:rPr>
            <w:rStyle w:val="Hyperlink"/>
            <w:rFonts w:asciiTheme="minorHAnsi" w:hAnsiTheme="minorHAnsi"/>
          </w:rPr>
          <w:t>http://www.dsd.state.md.us/comar/subtitle_chapters/26_Chapters.htm#Subtitle11</w:t>
        </w:r>
      </w:hyperlink>
    </w:p>
  </w:footnote>
  <w:footnote w:id="25">
    <w:p w:rsidR="0009546F" w:rsidRPr="00DA6CEC" w:rsidRDefault="0009546F" w:rsidP="00BE5463">
      <w:pPr>
        <w:pStyle w:val="Bibliography"/>
        <w:jc w:val="left"/>
        <w:rPr>
          <w:rFonts w:asciiTheme="minorHAnsi" w:hAnsiTheme="minorHAnsi"/>
          <w:sz w:val="20"/>
          <w:szCs w:val="20"/>
        </w:rPr>
      </w:pPr>
      <w:r w:rsidRPr="00DA6CEC">
        <w:rPr>
          <w:rStyle w:val="FootnoteReference"/>
          <w:rFonts w:asciiTheme="minorHAnsi" w:hAnsiTheme="minorHAnsi"/>
          <w:sz w:val="20"/>
          <w:szCs w:val="20"/>
        </w:rPr>
        <w:footnoteRef/>
      </w:r>
      <w:r w:rsidRPr="00DA6CEC">
        <w:rPr>
          <w:rFonts w:asciiTheme="minorHAnsi" w:hAnsiTheme="minorHAnsi"/>
          <w:sz w:val="20"/>
          <w:szCs w:val="20"/>
        </w:rPr>
        <w:t xml:space="preserve"> Fritz, SG and Starr, ME 1998, </w:t>
      </w:r>
      <w:r w:rsidRPr="00DA6CEC">
        <w:rPr>
          <w:rFonts w:asciiTheme="minorHAnsi" w:hAnsiTheme="minorHAnsi"/>
          <w:i/>
          <w:iCs/>
          <w:sz w:val="20"/>
          <w:szCs w:val="20"/>
        </w:rPr>
        <w:t>Emission Factors for Compression Ignition Nonroad Engines Operated on Number 2 Highway and Nonroad Diesel Fuel</w:t>
      </w:r>
      <w:r w:rsidRPr="00DA6CEC">
        <w:rPr>
          <w:rFonts w:asciiTheme="minorHAnsi" w:hAnsiTheme="minorHAnsi"/>
          <w:sz w:val="20"/>
          <w:szCs w:val="20"/>
        </w:rPr>
        <w:t>, accessed from &lt;</w:t>
      </w:r>
      <w:r w:rsidRPr="00DA6CEC">
        <w:rPr>
          <w:rFonts w:asciiTheme="minorHAnsi" w:hAnsiTheme="minorHAnsi"/>
          <w:color w:val="0033CC"/>
          <w:sz w:val="20"/>
          <w:szCs w:val="20"/>
        </w:rPr>
        <w:t>https://nepis.epa.gov/Exe/ZyPURL.cgi?Dockey=9100SELP.txt</w:t>
      </w:r>
      <w:r w:rsidRPr="00DA6CEC">
        <w:rPr>
          <w:rFonts w:asciiTheme="minorHAnsi" w:hAnsiTheme="minorHAnsi"/>
          <w:sz w:val="20"/>
          <w:szCs w:val="20"/>
        </w:rPr>
        <w:t>&gt;.</w:t>
      </w:r>
    </w:p>
  </w:footnote>
  <w:footnote w:id="26">
    <w:p w:rsidR="0009546F" w:rsidRPr="00DA6CEC" w:rsidRDefault="0009546F" w:rsidP="00BE5463">
      <w:pPr>
        <w:pStyle w:val="FootnoteText"/>
        <w:spacing w:after="0" w:line="240" w:lineRule="auto"/>
        <w:rPr>
          <w:rFonts w:asciiTheme="minorHAnsi" w:hAnsiTheme="minorHAnsi"/>
        </w:rPr>
      </w:pPr>
      <w:r w:rsidRPr="00DA6CEC">
        <w:rPr>
          <w:rStyle w:val="FootnoteReference"/>
          <w:rFonts w:asciiTheme="minorHAnsi" w:hAnsiTheme="minorHAnsi"/>
        </w:rPr>
        <w:footnoteRef/>
      </w:r>
      <w:r w:rsidRPr="00DA6CEC">
        <w:rPr>
          <w:rFonts w:asciiTheme="minorHAnsi" w:hAnsiTheme="minorHAnsi"/>
        </w:rPr>
        <w:t xml:space="preserve"> Frey, HC, Rasdorf, W, Kim, K, Pang, S-H, Lewis, P and Abolhassani, S 2008, ‘Real-world duty cycles and utilization for construction equipment in North Carolina’, Dept. of Civil, Construction, and Environmental Engineering, North Carolina State University, Raleigh, NC, accessed August 25, 2016, from &lt;</w:t>
      </w:r>
      <w:hyperlink r:id="rId17" w:history="1">
        <w:r w:rsidRPr="00DA6CEC">
          <w:rPr>
            <w:rStyle w:val="Hyperlink"/>
            <w:rFonts w:asciiTheme="minorHAnsi" w:hAnsiTheme="minorHAnsi"/>
          </w:rPr>
          <w:t>http://ntl.bts.gov/lib/32000/32300/32323/2006-08FinalReport.pdf</w:t>
        </w:r>
      </w:hyperlink>
      <w:r w:rsidRPr="00DA6CEC">
        <w:rPr>
          <w:rFonts w:asciiTheme="minorHAnsi" w:hAnsiTheme="minorHAnsi"/>
        </w:rPr>
        <w:t>&gt;.</w:t>
      </w:r>
    </w:p>
  </w:footnote>
  <w:footnote w:id="27">
    <w:p w:rsidR="0009546F" w:rsidRPr="00DA6CEC" w:rsidRDefault="0009546F" w:rsidP="00BE5463">
      <w:pPr>
        <w:spacing w:after="0" w:line="240" w:lineRule="auto"/>
        <w:rPr>
          <w:rFonts w:asciiTheme="minorHAnsi" w:hAnsiTheme="minorHAnsi"/>
          <w:sz w:val="20"/>
          <w:szCs w:val="20"/>
        </w:rPr>
      </w:pPr>
      <w:r w:rsidRPr="00DA6CEC">
        <w:rPr>
          <w:rStyle w:val="FootnoteReference"/>
          <w:rFonts w:asciiTheme="minorHAnsi" w:hAnsiTheme="minorHAnsi"/>
          <w:sz w:val="20"/>
          <w:szCs w:val="20"/>
        </w:rPr>
        <w:footnoteRef/>
      </w:r>
      <w:r w:rsidRPr="00DA6CEC">
        <w:rPr>
          <w:rFonts w:asciiTheme="minorHAnsi" w:hAnsiTheme="minorHAnsi"/>
          <w:sz w:val="20"/>
          <w:szCs w:val="20"/>
        </w:rPr>
        <w:t xml:space="preserve"> </w:t>
      </w:r>
      <w:r w:rsidRPr="00DA6CEC">
        <w:rPr>
          <w:rFonts w:asciiTheme="minorHAnsi" w:eastAsia="Calibri" w:hAnsiTheme="minorHAnsi" w:cs="Times New Roman"/>
          <w:sz w:val="20"/>
          <w:szCs w:val="20"/>
        </w:rPr>
        <w:t>US Energy Information Administration 2016, ‘Gasoline and Diesel Fuel Update’, Gasoline and Diesel Fuel Update, accessed from &lt;http://www.eia.gov/petroleum/gasdiesel/&gt;.</w:t>
      </w:r>
    </w:p>
  </w:footnote>
  <w:footnote w:id="28">
    <w:p w:rsidR="0009546F" w:rsidRPr="00DA6CEC" w:rsidRDefault="0009546F" w:rsidP="00BE5463">
      <w:pPr>
        <w:pStyle w:val="Bibliography"/>
        <w:jc w:val="both"/>
        <w:rPr>
          <w:rFonts w:asciiTheme="minorHAnsi" w:hAnsiTheme="minorHAnsi"/>
          <w:sz w:val="20"/>
          <w:szCs w:val="20"/>
        </w:rPr>
      </w:pPr>
      <w:r w:rsidRPr="00DA6CEC">
        <w:rPr>
          <w:rStyle w:val="FootnoteReference"/>
          <w:rFonts w:asciiTheme="minorHAnsi" w:hAnsiTheme="minorHAnsi"/>
          <w:sz w:val="20"/>
          <w:szCs w:val="20"/>
        </w:rPr>
        <w:footnoteRef/>
      </w:r>
      <w:r w:rsidRPr="00DA6CEC">
        <w:rPr>
          <w:rFonts w:asciiTheme="minorHAnsi" w:hAnsiTheme="minorHAnsi"/>
          <w:sz w:val="20"/>
          <w:szCs w:val="20"/>
        </w:rPr>
        <w:t xml:space="preserve"> Manufacturers of Emissions Control Association 2013, ‘Emission Performance of California and Federal Aftermarket TWC Converters’, in Detroit, MI, accessed January 7, 2013, from &lt;</w:t>
      </w:r>
      <w:r w:rsidRPr="00DA6CEC">
        <w:rPr>
          <w:rFonts w:asciiTheme="minorHAnsi" w:hAnsiTheme="minorHAnsi"/>
          <w:color w:val="0033CC"/>
          <w:sz w:val="20"/>
          <w:szCs w:val="20"/>
        </w:rPr>
        <w:t>http://papers.sae.org/2013-01-1298/</w:t>
      </w:r>
      <w:r w:rsidRPr="00DA6CEC">
        <w:rPr>
          <w:rFonts w:asciiTheme="minorHAnsi" w:hAnsiTheme="minorHAnsi"/>
          <w:sz w:val="20"/>
          <w:szCs w:val="20"/>
        </w:rPr>
        <w:t>&gt;.</w:t>
      </w:r>
    </w:p>
  </w:footnote>
  <w:footnote w:id="29">
    <w:p w:rsidR="0009546F" w:rsidRPr="00DA6CEC" w:rsidRDefault="0009546F" w:rsidP="00BE5463">
      <w:pPr>
        <w:pStyle w:val="FootnoteText"/>
        <w:spacing w:after="0" w:line="240" w:lineRule="auto"/>
        <w:rPr>
          <w:rFonts w:asciiTheme="minorHAnsi" w:hAnsiTheme="minorHAnsi"/>
        </w:rPr>
      </w:pPr>
      <w:r w:rsidRPr="00DA6CEC">
        <w:rPr>
          <w:rStyle w:val="FootnoteReference"/>
          <w:rFonts w:asciiTheme="minorHAnsi" w:hAnsiTheme="minorHAnsi"/>
        </w:rPr>
        <w:footnoteRef/>
      </w:r>
      <w:r w:rsidRPr="00DA6CEC">
        <w:rPr>
          <w:rFonts w:asciiTheme="minorHAnsi" w:hAnsiTheme="minorHAnsi"/>
        </w:rPr>
        <w:t xml:space="preserve"> Federal Highway Administration 2010, ‘Annual Vehicle Distance Traveled in Miles and Related Data - 2010 By Highway Category and Vehicle Type’, Annual Vehicle Distance Traveled in Miles and Related Data - 2010 By Highway Category and Vehicle Type, accessed August 14, 2012, from &lt;</w:t>
      </w:r>
      <w:r w:rsidRPr="00DA6CEC">
        <w:rPr>
          <w:rFonts w:asciiTheme="minorHAnsi" w:hAnsiTheme="minorHAnsi"/>
          <w:color w:val="0033CC"/>
        </w:rPr>
        <w:t>http://www.fhwa.dot.gov/policyinformation/statistics/2010/vm1.cfm</w:t>
      </w:r>
      <w:r w:rsidRPr="00DA6CEC">
        <w:rPr>
          <w:rFonts w:asciiTheme="minorHAnsi" w:hAnsiTheme="minorHAnsi"/>
        </w:rPr>
        <w:t>&gt;</w:t>
      </w:r>
    </w:p>
  </w:footnote>
  <w:footnote w:id="30">
    <w:p w:rsidR="0009546F" w:rsidRPr="00DA6CEC" w:rsidRDefault="0009546F" w:rsidP="0008573B">
      <w:pPr>
        <w:pStyle w:val="Bibliography"/>
        <w:jc w:val="both"/>
        <w:rPr>
          <w:rFonts w:asciiTheme="minorHAnsi" w:hAnsiTheme="minorHAnsi"/>
          <w:sz w:val="20"/>
          <w:szCs w:val="20"/>
        </w:rPr>
      </w:pPr>
      <w:r w:rsidRPr="00DA6CEC">
        <w:rPr>
          <w:rStyle w:val="FootnoteReference"/>
          <w:rFonts w:asciiTheme="minorHAnsi" w:hAnsiTheme="minorHAnsi"/>
          <w:sz w:val="20"/>
          <w:szCs w:val="20"/>
        </w:rPr>
        <w:footnoteRef/>
      </w:r>
      <w:r w:rsidRPr="00DA6CEC">
        <w:rPr>
          <w:rFonts w:asciiTheme="minorHAnsi" w:hAnsiTheme="minorHAnsi"/>
          <w:sz w:val="20"/>
          <w:szCs w:val="20"/>
        </w:rPr>
        <w:t xml:space="preserve"> California Air Resources Board, Public Hearing to Consider Amendments to Regulations Regarding New. Aftermarket Catalytic Converters and Used Catalytic Converters Offered for Sale and Use in California (2007).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546F" w:rsidRPr="00080AFE" w:rsidRDefault="0009546F" w:rsidP="00A475FE">
    <w:pPr>
      <w:pStyle w:val="Header"/>
      <w:jc w:val="center"/>
    </w:pPr>
    <w:r w:rsidRPr="00080AFE">
      <w:t xml:space="preserve">Draft– March 16, 2011, Revised August </w:t>
    </w:r>
    <w:r>
      <w:t>25</w:t>
    </w:r>
    <w:r w:rsidRPr="00080AFE">
      <w:t>, 2016</w:t>
    </w:r>
    <w:sdt>
      <w:sdtPr>
        <w:id w:val="1561442244"/>
        <w:docPartObj>
          <w:docPartGallery w:val="Watermarks"/>
          <w:docPartUnique/>
        </w:docPartObj>
      </w:sdtPr>
      <w:sdtContent>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546F" w:rsidRDefault="0009546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546F" w:rsidRPr="002A3B39" w:rsidRDefault="0009546F" w:rsidP="00A475FE">
    <w:pPr>
      <w:pStyle w:val="Header"/>
      <w:rPr>
        <w:b/>
      </w:rPr>
    </w:pPr>
    <w:r w:rsidRPr="000B45D1">
      <w:rPr>
        <w:sz w:val="20"/>
        <w:szCs w:val="20"/>
      </w:rPr>
      <w:t>D</w:t>
    </w:r>
    <w:r>
      <w:rPr>
        <w:sz w:val="20"/>
        <w:szCs w:val="20"/>
      </w:rPr>
      <w:t xml:space="preserve">raft - </w:t>
    </w:r>
    <w:r w:rsidRPr="000B45D1">
      <w:rPr>
        <w:sz w:val="20"/>
        <w:szCs w:val="20"/>
      </w:rPr>
      <w:t>M</w:t>
    </w:r>
    <w:r>
      <w:rPr>
        <w:sz w:val="20"/>
        <w:szCs w:val="20"/>
      </w:rPr>
      <w:t>arch</w:t>
    </w:r>
    <w:r w:rsidRPr="000B45D1">
      <w:rPr>
        <w:sz w:val="20"/>
        <w:szCs w:val="20"/>
      </w:rPr>
      <w:t xml:space="preserve"> 16, 2011</w:t>
    </w:r>
    <w:r>
      <w:rPr>
        <w:sz w:val="20"/>
        <w:szCs w:val="20"/>
      </w:rPr>
      <w:t>, Revised August 25, 2016</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546F" w:rsidRDefault="0009546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000950"/>
    <w:multiLevelType w:val="hybridMultilevel"/>
    <w:tmpl w:val="06624AD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56810F6"/>
    <w:multiLevelType w:val="hybridMultilevel"/>
    <w:tmpl w:val="E586D622"/>
    <w:lvl w:ilvl="0" w:tplc="364684E4">
      <w:start w:val="1"/>
      <w:numFmt w:val="bullet"/>
      <w:lvlText w:val="₋"/>
      <w:lvlJc w:val="left"/>
      <w:pPr>
        <w:ind w:left="810" w:hanging="360"/>
      </w:pPr>
      <w:rPr>
        <w:rFonts w:ascii="Calibri" w:hAnsi="Calibri" w:hint="default"/>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start w:val="1"/>
      <w:numFmt w:val="bullet"/>
      <w:lvlText w:val=""/>
      <w:lvlJc w:val="left"/>
      <w:pPr>
        <w:ind w:left="2970" w:hanging="360"/>
      </w:pPr>
      <w:rPr>
        <w:rFonts w:ascii="Symbol" w:hAnsi="Symbol" w:hint="default"/>
      </w:rPr>
    </w:lvl>
    <w:lvl w:ilvl="4" w:tplc="04090003">
      <w:start w:val="1"/>
      <w:numFmt w:val="bullet"/>
      <w:lvlText w:val="o"/>
      <w:lvlJc w:val="left"/>
      <w:pPr>
        <w:ind w:left="3690" w:hanging="360"/>
      </w:pPr>
      <w:rPr>
        <w:rFonts w:ascii="Courier New" w:hAnsi="Courier New" w:cs="Courier New" w:hint="default"/>
      </w:rPr>
    </w:lvl>
    <w:lvl w:ilvl="5" w:tplc="04090005">
      <w:start w:val="1"/>
      <w:numFmt w:val="bullet"/>
      <w:lvlText w:val=""/>
      <w:lvlJc w:val="left"/>
      <w:pPr>
        <w:ind w:left="4410" w:hanging="360"/>
      </w:pPr>
      <w:rPr>
        <w:rFonts w:ascii="Wingdings" w:hAnsi="Wingdings" w:hint="default"/>
      </w:rPr>
    </w:lvl>
    <w:lvl w:ilvl="6" w:tplc="04090001">
      <w:start w:val="1"/>
      <w:numFmt w:val="bullet"/>
      <w:lvlText w:val=""/>
      <w:lvlJc w:val="left"/>
      <w:pPr>
        <w:ind w:left="5130" w:hanging="360"/>
      </w:pPr>
      <w:rPr>
        <w:rFonts w:ascii="Symbol" w:hAnsi="Symbol" w:hint="default"/>
      </w:rPr>
    </w:lvl>
    <w:lvl w:ilvl="7" w:tplc="04090003">
      <w:start w:val="1"/>
      <w:numFmt w:val="bullet"/>
      <w:lvlText w:val="o"/>
      <w:lvlJc w:val="left"/>
      <w:pPr>
        <w:ind w:left="5850" w:hanging="360"/>
      </w:pPr>
      <w:rPr>
        <w:rFonts w:ascii="Courier New" w:hAnsi="Courier New" w:cs="Courier New" w:hint="default"/>
      </w:rPr>
    </w:lvl>
    <w:lvl w:ilvl="8" w:tplc="04090005">
      <w:start w:val="1"/>
      <w:numFmt w:val="bullet"/>
      <w:lvlText w:val=""/>
      <w:lvlJc w:val="left"/>
      <w:pPr>
        <w:ind w:left="6570" w:hanging="360"/>
      </w:pPr>
      <w:rPr>
        <w:rFonts w:ascii="Wingdings" w:hAnsi="Wingdings" w:hint="default"/>
      </w:rPr>
    </w:lvl>
  </w:abstractNum>
  <w:abstractNum w:abstractNumId="2" w15:restartNumberingAfterBreak="0">
    <w:nsid w:val="087C2378"/>
    <w:multiLevelType w:val="hybridMultilevel"/>
    <w:tmpl w:val="FA24B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CE21FD"/>
    <w:multiLevelType w:val="hybridMultilevel"/>
    <w:tmpl w:val="3ED25D4A"/>
    <w:lvl w:ilvl="0" w:tplc="364684E4">
      <w:start w:val="1"/>
      <w:numFmt w:val="bullet"/>
      <w:lvlText w:val="₋"/>
      <w:lvlJc w:val="left"/>
      <w:pPr>
        <w:ind w:left="810" w:hanging="360"/>
      </w:pPr>
      <w:rPr>
        <w:rFonts w:ascii="Calibri" w:hAnsi="Calibri" w:hint="default"/>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start w:val="1"/>
      <w:numFmt w:val="bullet"/>
      <w:lvlText w:val=""/>
      <w:lvlJc w:val="left"/>
      <w:pPr>
        <w:ind w:left="2970" w:hanging="360"/>
      </w:pPr>
      <w:rPr>
        <w:rFonts w:ascii="Symbol" w:hAnsi="Symbol" w:hint="default"/>
      </w:rPr>
    </w:lvl>
    <w:lvl w:ilvl="4" w:tplc="04090003">
      <w:start w:val="1"/>
      <w:numFmt w:val="bullet"/>
      <w:lvlText w:val="o"/>
      <w:lvlJc w:val="left"/>
      <w:pPr>
        <w:ind w:left="3690" w:hanging="360"/>
      </w:pPr>
      <w:rPr>
        <w:rFonts w:ascii="Courier New" w:hAnsi="Courier New" w:cs="Courier New" w:hint="default"/>
      </w:rPr>
    </w:lvl>
    <w:lvl w:ilvl="5" w:tplc="04090005">
      <w:start w:val="1"/>
      <w:numFmt w:val="bullet"/>
      <w:lvlText w:val=""/>
      <w:lvlJc w:val="left"/>
      <w:pPr>
        <w:ind w:left="4410" w:hanging="360"/>
      </w:pPr>
      <w:rPr>
        <w:rFonts w:ascii="Wingdings" w:hAnsi="Wingdings" w:hint="default"/>
      </w:rPr>
    </w:lvl>
    <w:lvl w:ilvl="6" w:tplc="04090001">
      <w:start w:val="1"/>
      <w:numFmt w:val="bullet"/>
      <w:lvlText w:val=""/>
      <w:lvlJc w:val="left"/>
      <w:pPr>
        <w:ind w:left="5130" w:hanging="360"/>
      </w:pPr>
      <w:rPr>
        <w:rFonts w:ascii="Symbol" w:hAnsi="Symbol" w:hint="default"/>
      </w:rPr>
    </w:lvl>
    <w:lvl w:ilvl="7" w:tplc="04090003">
      <w:start w:val="1"/>
      <w:numFmt w:val="bullet"/>
      <w:lvlText w:val="o"/>
      <w:lvlJc w:val="left"/>
      <w:pPr>
        <w:ind w:left="5850" w:hanging="360"/>
      </w:pPr>
      <w:rPr>
        <w:rFonts w:ascii="Courier New" w:hAnsi="Courier New" w:cs="Courier New" w:hint="default"/>
      </w:rPr>
    </w:lvl>
    <w:lvl w:ilvl="8" w:tplc="04090005">
      <w:start w:val="1"/>
      <w:numFmt w:val="bullet"/>
      <w:lvlText w:val=""/>
      <w:lvlJc w:val="left"/>
      <w:pPr>
        <w:ind w:left="6570" w:hanging="360"/>
      </w:pPr>
      <w:rPr>
        <w:rFonts w:ascii="Wingdings" w:hAnsi="Wingdings" w:hint="default"/>
      </w:rPr>
    </w:lvl>
  </w:abstractNum>
  <w:abstractNum w:abstractNumId="4" w15:restartNumberingAfterBreak="0">
    <w:nsid w:val="108D172E"/>
    <w:multiLevelType w:val="hybridMultilevel"/>
    <w:tmpl w:val="E078EB68"/>
    <w:lvl w:ilvl="0" w:tplc="9990AD98">
      <w:start w:val="1"/>
      <w:numFmt w:val="bullet"/>
      <w:lvlText w:val=""/>
      <w:lvlJc w:val="left"/>
      <w:pPr>
        <w:ind w:left="1080" w:hanging="360"/>
      </w:pPr>
      <w:rPr>
        <w:rFonts w:ascii="Symbol" w:hAnsi="Symbol" w:hint="default"/>
        <w:sz w:val="20"/>
        <w:szCs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353007C"/>
    <w:multiLevelType w:val="hybridMultilevel"/>
    <w:tmpl w:val="A2E01E0E"/>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start w:val="1"/>
      <w:numFmt w:val="bullet"/>
      <w:lvlText w:val=""/>
      <w:lvlJc w:val="left"/>
      <w:pPr>
        <w:ind w:left="1890" w:hanging="360"/>
      </w:pPr>
      <w:rPr>
        <w:rFonts w:ascii="Wingdings" w:hAnsi="Wingdings" w:hint="default"/>
      </w:rPr>
    </w:lvl>
    <w:lvl w:ilvl="3" w:tplc="04090001">
      <w:start w:val="1"/>
      <w:numFmt w:val="bullet"/>
      <w:lvlText w:val=""/>
      <w:lvlJc w:val="left"/>
      <w:pPr>
        <w:ind w:left="2610" w:hanging="360"/>
      </w:pPr>
      <w:rPr>
        <w:rFonts w:ascii="Symbol" w:hAnsi="Symbol" w:hint="default"/>
      </w:rPr>
    </w:lvl>
    <w:lvl w:ilvl="4" w:tplc="04090003">
      <w:start w:val="1"/>
      <w:numFmt w:val="bullet"/>
      <w:lvlText w:val="o"/>
      <w:lvlJc w:val="left"/>
      <w:pPr>
        <w:ind w:left="3330" w:hanging="360"/>
      </w:pPr>
      <w:rPr>
        <w:rFonts w:ascii="Courier New" w:hAnsi="Courier New" w:cs="Courier New" w:hint="default"/>
      </w:rPr>
    </w:lvl>
    <w:lvl w:ilvl="5" w:tplc="04090005">
      <w:start w:val="1"/>
      <w:numFmt w:val="bullet"/>
      <w:lvlText w:val=""/>
      <w:lvlJc w:val="left"/>
      <w:pPr>
        <w:ind w:left="4050" w:hanging="360"/>
      </w:pPr>
      <w:rPr>
        <w:rFonts w:ascii="Wingdings" w:hAnsi="Wingdings" w:hint="default"/>
      </w:rPr>
    </w:lvl>
    <w:lvl w:ilvl="6" w:tplc="04090001">
      <w:start w:val="1"/>
      <w:numFmt w:val="bullet"/>
      <w:lvlText w:val=""/>
      <w:lvlJc w:val="left"/>
      <w:pPr>
        <w:ind w:left="4770" w:hanging="360"/>
      </w:pPr>
      <w:rPr>
        <w:rFonts w:ascii="Symbol" w:hAnsi="Symbol" w:hint="default"/>
      </w:rPr>
    </w:lvl>
    <w:lvl w:ilvl="7" w:tplc="04090003">
      <w:start w:val="1"/>
      <w:numFmt w:val="bullet"/>
      <w:lvlText w:val="o"/>
      <w:lvlJc w:val="left"/>
      <w:pPr>
        <w:ind w:left="5490" w:hanging="360"/>
      </w:pPr>
      <w:rPr>
        <w:rFonts w:ascii="Courier New" w:hAnsi="Courier New" w:cs="Courier New" w:hint="default"/>
      </w:rPr>
    </w:lvl>
    <w:lvl w:ilvl="8" w:tplc="04090005">
      <w:start w:val="1"/>
      <w:numFmt w:val="bullet"/>
      <w:lvlText w:val=""/>
      <w:lvlJc w:val="left"/>
      <w:pPr>
        <w:ind w:left="6210" w:hanging="360"/>
      </w:pPr>
      <w:rPr>
        <w:rFonts w:ascii="Wingdings" w:hAnsi="Wingdings" w:hint="default"/>
      </w:rPr>
    </w:lvl>
  </w:abstractNum>
  <w:abstractNum w:abstractNumId="6" w15:restartNumberingAfterBreak="0">
    <w:nsid w:val="13A552A8"/>
    <w:multiLevelType w:val="hybridMultilevel"/>
    <w:tmpl w:val="6A804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2744DB"/>
    <w:multiLevelType w:val="hybridMultilevel"/>
    <w:tmpl w:val="6D8E5EBE"/>
    <w:lvl w:ilvl="0" w:tplc="1F789808">
      <w:start w:val="1"/>
      <w:numFmt w:val="bullet"/>
      <w:lvlText w:val=""/>
      <w:lvlJc w:val="left"/>
      <w:pPr>
        <w:tabs>
          <w:tab w:val="num" w:pos="450"/>
        </w:tabs>
        <w:ind w:left="0" w:firstLine="90"/>
      </w:pPr>
      <w:rPr>
        <w:rFonts w:ascii="Symbol" w:hAnsi="Symbol" w:hint="default"/>
        <w:sz w:val="20"/>
        <w:szCs w:val="20"/>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9662667"/>
    <w:multiLevelType w:val="multilevel"/>
    <w:tmpl w:val="E700B152"/>
    <w:lvl w:ilvl="0">
      <w:start w:val="4"/>
      <w:numFmt w:val="decimal"/>
      <w:lvlText w:val="%1"/>
      <w:lvlJc w:val="left"/>
      <w:pPr>
        <w:tabs>
          <w:tab w:val="num" w:pos="1440"/>
        </w:tabs>
        <w:ind w:left="1440" w:hanging="1440"/>
      </w:pPr>
      <w:rPr>
        <w:rFonts w:hint="default"/>
      </w:rPr>
    </w:lvl>
    <w:lvl w:ilvl="1">
      <w:start w:val="2"/>
      <w:numFmt w:val="decimal"/>
      <w:lvlText w:val="%1.%2"/>
      <w:lvlJc w:val="left"/>
      <w:pPr>
        <w:tabs>
          <w:tab w:val="num" w:pos="1440"/>
        </w:tabs>
        <w:ind w:left="1440" w:hanging="1440"/>
      </w:pPr>
      <w:rPr>
        <w:rFonts w:hint="default"/>
      </w:rPr>
    </w:lvl>
    <w:lvl w:ilvl="2">
      <w:start w:val="2"/>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1B281482"/>
    <w:multiLevelType w:val="hybridMultilevel"/>
    <w:tmpl w:val="0A6419F6"/>
    <w:lvl w:ilvl="0" w:tplc="484CFE32">
      <w:start w:val="1"/>
      <w:numFmt w:val="bullet"/>
      <w:lvlText w:val=""/>
      <w:lvlJc w:val="left"/>
      <w:pPr>
        <w:ind w:left="1080" w:hanging="360"/>
      </w:pPr>
      <w:rPr>
        <w:rFonts w:ascii="Symbol" w:hAnsi="Symbol" w:hint="default"/>
        <w:sz w:val="20"/>
        <w:szCs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B3B4A2B"/>
    <w:multiLevelType w:val="hybridMultilevel"/>
    <w:tmpl w:val="29B45482"/>
    <w:lvl w:ilvl="0" w:tplc="95566C02">
      <w:start w:val="1"/>
      <w:numFmt w:val="bullet"/>
      <w:lvlText w:val=""/>
      <w:lvlJc w:val="left"/>
      <w:pPr>
        <w:tabs>
          <w:tab w:val="num" w:pos="3960"/>
        </w:tabs>
        <w:ind w:left="3510" w:firstLine="90"/>
      </w:pPr>
      <w:rPr>
        <w:rFonts w:ascii="Symbol" w:hAnsi="Symbol" w:hint="default"/>
        <w:sz w:val="20"/>
        <w:szCs w:val="20"/>
      </w:rPr>
    </w:lvl>
    <w:lvl w:ilvl="1" w:tplc="04090003">
      <w:start w:val="1"/>
      <w:numFmt w:val="bullet"/>
      <w:lvlText w:val="o"/>
      <w:lvlJc w:val="left"/>
      <w:pPr>
        <w:tabs>
          <w:tab w:val="num" w:pos="4950"/>
        </w:tabs>
        <w:ind w:left="4950" w:hanging="360"/>
      </w:pPr>
      <w:rPr>
        <w:rFonts w:ascii="Courier New" w:hAnsi="Courier New" w:cs="Times New Roman" w:hint="default"/>
      </w:rPr>
    </w:lvl>
    <w:lvl w:ilvl="2" w:tplc="04090005">
      <w:start w:val="1"/>
      <w:numFmt w:val="bullet"/>
      <w:lvlText w:val=""/>
      <w:lvlJc w:val="left"/>
      <w:pPr>
        <w:tabs>
          <w:tab w:val="num" w:pos="5670"/>
        </w:tabs>
        <w:ind w:left="5670" w:hanging="360"/>
      </w:pPr>
      <w:rPr>
        <w:rFonts w:ascii="Wingdings" w:hAnsi="Wingdings" w:hint="default"/>
      </w:rPr>
    </w:lvl>
    <w:lvl w:ilvl="3" w:tplc="04090001">
      <w:start w:val="1"/>
      <w:numFmt w:val="bullet"/>
      <w:lvlText w:val=""/>
      <w:lvlJc w:val="left"/>
      <w:pPr>
        <w:tabs>
          <w:tab w:val="num" w:pos="6390"/>
        </w:tabs>
        <w:ind w:left="6390" w:hanging="360"/>
      </w:pPr>
      <w:rPr>
        <w:rFonts w:ascii="Symbol" w:hAnsi="Symbol" w:hint="default"/>
      </w:rPr>
    </w:lvl>
    <w:lvl w:ilvl="4" w:tplc="04090003">
      <w:start w:val="1"/>
      <w:numFmt w:val="bullet"/>
      <w:lvlText w:val="o"/>
      <w:lvlJc w:val="left"/>
      <w:pPr>
        <w:tabs>
          <w:tab w:val="num" w:pos="7110"/>
        </w:tabs>
        <w:ind w:left="7110" w:hanging="360"/>
      </w:pPr>
      <w:rPr>
        <w:rFonts w:ascii="Courier New" w:hAnsi="Courier New" w:cs="Times New Roman" w:hint="default"/>
      </w:rPr>
    </w:lvl>
    <w:lvl w:ilvl="5" w:tplc="04090005">
      <w:start w:val="1"/>
      <w:numFmt w:val="bullet"/>
      <w:lvlText w:val=""/>
      <w:lvlJc w:val="left"/>
      <w:pPr>
        <w:tabs>
          <w:tab w:val="num" w:pos="7830"/>
        </w:tabs>
        <w:ind w:left="7830" w:hanging="360"/>
      </w:pPr>
      <w:rPr>
        <w:rFonts w:ascii="Wingdings" w:hAnsi="Wingdings" w:hint="default"/>
      </w:rPr>
    </w:lvl>
    <w:lvl w:ilvl="6" w:tplc="04090001">
      <w:start w:val="1"/>
      <w:numFmt w:val="bullet"/>
      <w:lvlText w:val=""/>
      <w:lvlJc w:val="left"/>
      <w:pPr>
        <w:tabs>
          <w:tab w:val="num" w:pos="8550"/>
        </w:tabs>
        <w:ind w:left="8550" w:hanging="360"/>
      </w:pPr>
      <w:rPr>
        <w:rFonts w:ascii="Symbol" w:hAnsi="Symbol" w:hint="default"/>
      </w:rPr>
    </w:lvl>
    <w:lvl w:ilvl="7" w:tplc="04090003">
      <w:start w:val="1"/>
      <w:numFmt w:val="bullet"/>
      <w:lvlText w:val="o"/>
      <w:lvlJc w:val="left"/>
      <w:pPr>
        <w:tabs>
          <w:tab w:val="num" w:pos="9270"/>
        </w:tabs>
        <w:ind w:left="9270" w:hanging="360"/>
      </w:pPr>
      <w:rPr>
        <w:rFonts w:ascii="Courier New" w:hAnsi="Courier New" w:cs="Times New Roman" w:hint="default"/>
      </w:rPr>
    </w:lvl>
    <w:lvl w:ilvl="8" w:tplc="04090005">
      <w:start w:val="1"/>
      <w:numFmt w:val="bullet"/>
      <w:lvlText w:val=""/>
      <w:lvlJc w:val="left"/>
      <w:pPr>
        <w:tabs>
          <w:tab w:val="num" w:pos="9990"/>
        </w:tabs>
        <w:ind w:left="9990" w:hanging="360"/>
      </w:pPr>
      <w:rPr>
        <w:rFonts w:ascii="Wingdings" w:hAnsi="Wingdings" w:hint="default"/>
      </w:rPr>
    </w:lvl>
  </w:abstractNum>
  <w:abstractNum w:abstractNumId="11" w15:restartNumberingAfterBreak="0">
    <w:nsid w:val="22857621"/>
    <w:multiLevelType w:val="hybridMultilevel"/>
    <w:tmpl w:val="1F323B5A"/>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2" w15:restartNumberingAfterBreak="0">
    <w:nsid w:val="27686E34"/>
    <w:multiLevelType w:val="hybridMultilevel"/>
    <w:tmpl w:val="EA684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C31B96"/>
    <w:multiLevelType w:val="hybridMultilevel"/>
    <w:tmpl w:val="068A1784"/>
    <w:lvl w:ilvl="0" w:tplc="364684E4">
      <w:start w:val="1"/>
      <w:numFmt w:val="bullet"/>
      <w:lvlText w:val="₋"/>
      <w:lvlJc w:val="left"/>
      <w:pPr>
        <w:ind w:left="810" w:hanging="360"/>
      </w:pPr>
      <w:rPr>
        <w:rFonts w:ascii="Calibri" w:hAnsi="Calibri" w:hint="default"/>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start w:val="1"/>
      <w:numFmt w:val="bullet"/>
      <w:lvlText w:val=""/>
      <w:lvlJc w:val="left"/>
      <w:pPr>
        <w:ind w:left="2970" w:hanging="360"/>
      </w:pPr>
      <w:rPr>
        <w:rFonts w:ascii="Symbol" w:hAnsi="Symbol" w:hint="default"/>
      </w:rPr>
    </w:lvl>
    <w:lvl w:ilvl="4" w:tplc="04090003">
      <w:start w:val="1"/>
      <w:numFmt w:val="bullet"/>
      <w:lvlText w:val="o"/>
      <w:lvlJc w:val="left"/>
      <w:pPr>
        <w:ind w:left="3690" w:hanging="360"/>
      </w:pPr>
      <w:rPr>
        <w:rFonts w:ascii="Courier New" w:hAnsi="Courier New" w:cs="Courier New" w:hint="default"/>
      </w:rPr>
    </w:lvl>
    <w:lvl w:ilvl="5" w:tplc="04090005">
      <w:start w:val="1"/>
      <w:numFmt w:val="bullet"/>
      <w:lvlText w:val=""/>
      <w:lvlJc w:val="left"/>
      <w:pPr>
        <w:ind w:left="4410" w:hanging="360"/>
      </w:pPr>
      <w:rPr>
        <w:rFonts w:ascii="Wingdings" w:hAnsi="Wingdings" w:hint="default"/>
      </w:rPr>
    </w:lvl>
    <w:lvl w:ilvl="6" w:tplc="04090001">
      <w:start w:val="1"/>
      <w:numFmt w:val="bullet"/>
      <w:lvlText w:val=""/>
      <w:lvlJc w:val="left"/>
      <w:pPr>
        <w:ind w:left="5130" w:hanging="360"/>
      </w:pPr>
      <w:rPr>
        <w:rFonts w:ascii="Symbol" w:hAnsi="Symbol" w:hint="default"/>
      </w:rPr>
    </w:lvl>
    <w:lvl w:ilvl="7" w:tplc="04090003">
      <w:start w:val="1"/>
      <w:numFmt w:val="bullet"/>
      <w:lvlText w:val="o"/>
      <w:lvlJc w:val="left"/>
      <w:pPr>
        <w:ind w:left="5850" w:hanging="360"/>
      </w:pPr>
      <w:rPr>
        <w:rFonts w:ascii="Courier New" w:hAnsi="Courier New" w:cs="Courier New" w:hint="default"/>
      </w:rPr>
    </w:lvl>
    <w:lvl w:ilvl="8" w:tplc="04090005">
      <w:start w:val="1"/>
      <w:numFmt w:val="bullet"/>
      <w:lvlText w:val=""/>
      <w:lvlJc w:val="left"/>
      <w:pPr>
        <w:ind w:left="6570" w:hanging="360"/>
      </w:pPr>
      <w:rPr>
        <w:rFonts w:ascii="Wingdings" w:hAnsi="Wingdings" w:hint="default"/>
      </w:rPr>
    </w:lvl>
  </w:abstractNum>
  <w:abstractNum w:abstractNumId="14" w15:restartNumberingAfterBreak="0">
    <w:nsid w:val="28EA55F3"/>
    <w:multiLevelType w:val="hybridMultilevel"/>
    <w:tmpl w:val="01461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465EA6"/>
    <w:multiLevelType w:val="hybridMultilevel"/>
    <w:tmpl w:val="91BC83C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6" w15:restartNumberingAfterBreak="0">
    <w:nsid w:val="31CE6585"/>
    <w:multiLevelType w:val="hybridMultilevel"/>
    <w:tmpl w:val="4B568724"/>
    <w:lvl w:ilvl="0" w:tplc="F990BE00">
      <w:start w:val="1"/>
      <w:numFmt w:val="bullet"/>
      <w:lvlText w:val=""/>
      <w:lvlJc w:val="left"/>
      <w:pPr>
        <w:ind w:left="720" w:hanging="360"/>
      </w:pPr>
      <w:rPr>
        <w:rFonts w:ascii="Symbol" w:hAnsi="Symbol" w:hint="default"/>
        <w:sz w:val="20"/>
        <w:szCs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334055B2"/>
    <w:multiLevelType w:val="hybridMultilevel"/>
    <w:tmpl w:val="89283132"/>
    <w:lvl w:ilvl="0" w:tplc="49187850">
      <w:start w:val="1"/>
      <w:numFmt w:val="lowerLetter"/>
      <w:lvlText w:val="%1."/>
      <w:lvlJc w:val="left"/>
      <w:pPr>
        <w:ind w:left="2055" w:hanging="435"/>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8" w15:restartNumberingAfterBreak="0">
    <w:nsid w:val="33C4313E"/>
    <w:multiLevelType w:val="hybridMultilevel"/>
    <w:tmpl w:val="D4B0DADC"/>
    <w:lvl w:ilvl="0" w:tplc="CA222E78">
      <w:start w:val="1"/>
      <w:numFmt w:val="lowerLetter"/>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8820F7D"/>
    <w:multiLevelType w:val="hybridMultilevel"/>
    <w:tmpl w:val="BB1A5142"/>
    <w:lvl w:ilvl="0" w:tplc="CA222E78">
      <w:start w:val="1"/>
      <w:numFmt w:val="lowerLetter"/>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8FC68D9"/>
    <w:multiLevelType w:val="hybridMultilevel"/>
    <w:tmpl w:val="195AD1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3D842551"/>
    <w:multiLevelType w:val="hybridMultilevel"/>
    <w:tmpl w:val="CDBC4928"/>
    <w:lvl w:ilvl="0" w:tplc="3808DA2E">
      <w:start w:val="2"/>
      <w:numFmt w:val="lowerLetter"/>
      <w:lvlText w:val="%1."/>
      <w:lvlJc w:val="left"/>
      <w:pPr>
        <w:tabs>
          <w:tab w:val="num" w:pos="1125"/>
        </w:tabs>
        <w:ind w:left="1125" w:hanging="40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15:restartNumberingAfterBreak="0">
    <w:nsid w:val="4960321D"/>
    <w:multiLevelType w:val="hybridMultilevel"/>
    <w:tmpl w:val="8C94A9F8"/>
    <w:lvl w:ilvl="0" w:tplc="0409000F">
      <w:start w:val="1"/>
      <w:numFmt w:val="decimal"/>
      <w:lvlText w:val="%1."/>
      <w:lvlJc w:val="left"/>
      <w:pPr>
        <w:ind w:left="1440" w:hanging="360"/>
      </w:pPr>
      <w:rPr>
        <w:rFonts w:cs="Times New Roman"/>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23" w15:restartNumberingAfterBreak="0">
    <w:nsid w:val="57337530"/>
    <w:multiLevelType w:val="hybridMultilevel"/>
    <w:tmpl w:val="7B608138"/>
    <w:lvl w:ilvl="0" w:tplc="B1BE529C">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4" w15:restartNumberingAfterBreak="0">
    <w:nsid w:val="58394F4A"/>
    <w:multiLevelType w:val="hybridMultilevel"/>
    <w:tmpl w:val="1090CC6C"/>
    <w:lvl w:ilvl="0" w:tplc="364684E4">
      <w:start w:val="1"/>
      <w:numFmt w:val="bullet"/>
      <w:lvlText w:val="₋"/>
      <w:lvlJc w:val="left"/>
      <w:pPr>
        <w:ind w:left="810" w:hanging="360"/>
      </w:pPr>
      <w:rPr>
        <w:rFonts w:ascii="Calibri" w:hAnsi="Calibri" w:hint="default"/>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start w:val="1"/>
      <w:numFmt w:val="bullet"/>
      <w:lvlText w:val=""/>
      <w:lvlJc w:val="left"/>
      <w:pPr>
        <w:ind w:left="2970" w:hanging="360"/>
      </w:pPr>
      <w:rPr>
        <w:rFonts w:ascii="Symbol" w:hAnsi="Symbol" w:hint="default"/>
      </w:rPr>
    </w:lvl>
    <w:lvl w:ilvl="4" w:tplc="04090003">
      <w:start w:val="1"/>
      <w:numFmt w:val="bullet"/>
      <w:lvlText w:val="o"/>
      <w:lvlJc w:val="left"/>
      <w:pPr>
        <w:ind w:left="3690" w:hanging="360"/>
      </w:pPr>
      <w:rPr>
        <w:rFonts w:ascii="Courier New" w:hAnsi="Courier New" w:cs="Courier New" w:hint="default"/>
      </w:rPr>
    </w:lvl>
    <w:lvl w:ilvl="5" w:tplc="04090005">
      <w:start w:val="1"/>
      <w:numFmt w:val="bullet"/>
      <w:lvlText w:val=""/>
      <w:lvlJc w:val="left"/>
      <w:pPr>
        <w:ind w:left="4410" w:hanging="360"/>
      </w:pPr>
      <w:rPr>
        <w:rFonts w:ascii="Wingdings" w:hAnsi="Wingdings" w:hint="default"/>
      </w:rPr>
    </w:lvl>
    <w:lvl w:ilvl="6" w:tplc="04090001">
      <w:start w:val="1"/>
      <w:numFmt w:val="bullet"/>
      <w:lvlText w:val=""/>
      <w:lvlJc w:val="left"/>
      <w:pPr>
        <w:ind w:left="5130" w:hanging="360"/>
      </w:pPr>
      <w:rPr>
        <w:rFonts w:ascii="Symbol" w:hAnsi="Symbol" w:hint="default"/>
      </w:rPr>
    </w:lvl>
    <w:lvl w:ilvl="7" w:tplc="04090003">
      <w:start w:val="1"/>
      <w:numFmt w:val="bullet"/>
      <w:lvlText w:val="o"/>
      <w:lvlJc w:val="left"/>
      <w:pPr>
        <w:ind w:left="5850" w:hanging="360"/>
      </w:pPr>
      <w:rPr>
        <w:rFonts w:ascii="Courier New" w:hAnsi="Courier New" w:cs="Courier New" w:hint="default"/>
      </w:rPr>
    </w:lvl>
    <w:lvl w:ilvl="8" w:tplc="04090005">
      <w:start w:val="1"/>
      <w:numFmt w:val="bullet"/>
      <w:lvlText w:val=""/>
      <w:lvlJc w:val="left"/>
      <w:pPr>
        <w:ind w:left="6570" w:hanging="360"/>
      </w:pPr>
      <w:rPr>
        <w:rFonts w:ascii="Wingdings" w:hAnsi="Wingdings" w:hint="default"/>
      </w:rPr>
    </w:lvl>
  </w:abstractNum>
  <w:abstractNum w:abstractNumId="25" w15:restartNumberingAfterBreak="0">
    <w:nsid w:val="663B3866"/>
    <w:multiLevelType w:val="hybridMultilevel"/>
    <w:tmpl w:val="3552D400"/>
    <w:lvl w:ilvl="0" w:tplc="86CA891A">
      <w:start w:val="1"/>
      <w:numFmt w:val="lowerRoman"/>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6" w15:restartNumberingAfterBreak="0">
    <w:nsid w:val="690F31FC"/>
    <w:multiLevelType w:val="hybridMultilevel"/>
    <w:tmpl w:val="07BC2706"/>
    <w:lvl w:ilvl="0" w:tplc="49187850">
      <w:start w:val="1"/>
      <w:numFmt w:val="lowerLetter"/>
      <w:lvlText w:val="%1."/>
      <w:lvlJc w:val="left"/>
      <w:pPr>
        <w:ind w:left="1155" w:hanging="43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D0B0887"/>
    <w:multiLevelType w:val="hybridMultilevel"/>
    <w:tmpl w:val="0484989E"/>
    <w:lvl w:ilvl="0" w:tplc="50C40740">
      <w:start w:val="1"/>
      <w:numFmt w:val="bullet"/>
      <w:lvlText w:val=""/>
      <w:lvlJc w:val="left"/>
      <w:pPr>
        <w:ind w:left="720" w:hanging="360"/>
      </w:pPr>
      <w:rPr>
        <w:rFonts w:ascii="Symbol" w:hAnsi="Symbol" w:hint="default"/>
        <w:sz w:val="20"/>
        <w:szCs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6E743589"/>
    <w:multiLevelType w:val="hybridMultilevel"/>
    <w:tmpl w:val="31F4DA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702C124F"/>
    <w:multiLevelType w:val="hybridMultilevel"/>
    <w:tmpl w:val="1E7A79E4"/>
    <w:lvl w:ilvl="0" w:tplc="85768354">
      <w:start w:val="1"/>
      <w:numFmt w:val="bullet"/>
      <w:lvlText w:val=""/>
      <w:lvlJc w:val="left"/>
      <w:pPr>
        <w:ind w:left="720" w:hanging="360"/>
      </w:pPr>
      <w:rPr>
        <w:rFonts w:ascii="Symbol" w:hAnsi="Symbol" w:hint="default"/>
        <w:sz w:val="20"/>
        <w:szCs w:val="20"/>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7083346B"/>
    <w:multiLevelType w:val="hybridMultilevel"/>
    <w:tmpl w:val="76CE5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09D7564"/>
    <w:multiLevelType w:val="hybridMultilevel"/>
    <w:tmpl w:val="7CC2BCBC"/>
    <w:lvl w:ilvl="0" w:tplc="364684E4">
      <w:start w:val="1"/>
      <w:numFmt w:val="bullet"/>
      <w:lvlText w:val="₋"/>
      <w:lvlJc w:val="left"/>
      <w:pPr>
        <w:ind w:left="810" w:hanging="360"/>
      </w:pPr>
      <w:rPr>
        <w:rFonts w:ascii="Calibri" w:hAnsi="Calibri" w:hint="default"/>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start w:val="1"/>
      <w:numFmt w:val="bullet"/>
      <w:lvlText w:val=""/>
      <w:lvlJc w:val="left"/>
      <w:pPr>
        <w:ind w:left="2970" w:hanging="360"/>
      </w:pPr>
      <w:rPr>
        <w:rFonts w:ascii="Symbol" w:hAnsi="Symbol" w:hint="default"/>
      </w:rPr>
    </w:lvl>
    <w:lvl w:ilvl="4" w:tplc="04090003">
      <w:start w:val="1"/>
      <w:numFmt w:val="bullet"/>
      <w:lvlText w:val="o"/>
      <w:lvlJc w:val="left"/>
      <w:pPr>
        <w:ind w:left="3690" w:hanging="360"/>
      </w:pPr>
      <w:rPr>
        <w:rFonts w:ascii="Courier New" w:hAnsi="Courier New" w:cs="Courier New" w:hint="default"/>
      </w:rPr>
    </w:lvl>
    <w:lvl w:ilvl="5" w:tplc="04090005">
      <w:start w:val="1"/>
      <w:numFmt w:val="bullet"/>
      <w:lvlText w:val=""/>
      <w:lvlJc w:val="left"/>
      <w:pPr>
        <w:ind w:left="4410" w:hanging="360"/>
      </w:pPr>
      <w:rPr>
        <w:rFonts w:ascii="Wingdings" w:hAnsi="Wingdings" w:hint="default"/>
      </w:rPr>
    </w:lvl>
    <w:lvl w:ilvl="6" w:tplc="04090001">
      <w:start w:val="1"/>
      <w:numFmt w:val="bullet"/>
      <w:lvlText w:val=""/>
      <w:lvlJc w:val="left"/>
      <w:pPr>
        <w:ind w:left="5130" w:hanging="360"/>
      </w:pPr>
      <w:rPr>
        <w:rFonts w:ascii="Symbol" w:hAnsi="Symbol" w:hint="default"/>
      </w:rPr>
    </w:lvl>
    <w:lvl w:ilvl="7" w:tplc="04090003">
      <w:start w:val="1"/>
      <w:numFmt w:val="bullet"/>
      <w:lvlText w:val="o"/>
      <w:lvlJc w:val="left"/>
      <w:pPr>
        <w:ind w:left="5850" w:hanging="360"/>
      </w:pPr>
      <w:rPr>
        <w:rFonts w:ascii="Courier New" w:hAnsi="Courier New" w:cs="Courier New" w:hint="default"/>
      </w:rPr>
    </w:lvl>
    <w:lvl w:ilvl="8" w:tplc="04090005">
      <w:start w:val="1"/>
      <w:numFmt w:val="bullet"/>
      <w:lvlText w:val=""/>
      <w:lvlJc w:val="left"/>
      <w:pPr>
        <w:ind w:left="6570" w:hanging="360"/>
      </w:pPr>
      <w:rPr>
        <w:rFonts w:ascii="Wingdings" w:hAnsi="Wingdings" w:hint="default"/>
      </w:rPr>
    </w:lvl>
  </w:abstractNum>
  <w:abstractNum w:abstractNumId="32" w15:restartNumberingAfterBreak="0">
    <w:nsid w:val="70F12D9B"/>
    <w:multiLevelType w:val="hybridMultilevel"/>
    <w:tmpl w:val="7F0A1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1CF57BD"/>
    <w:multiLevelType w:val="hybridMultilevel"/>
    <w:tmpl w:val="3D80B204"/>
    <w:lvl w:ilvl="0" w:tplc="9B546006">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4" w15:restartNumberingAfterBreak="0">
    <w:nsid w:val="756C790B"/>
    <w:multiLevelType w:val="hybridMultilevel"/>
    <w:tmpl w:val="D6622244"/>
    <w:lvl w:ilvl="0" w:tplc="F8C8A518">
      <w:start w:val="1"/>
      <w:numFmt w:val="bullet"/>
      <w:lvlText w:val=""/>
      <w:lvlJc w:val="left"/>
      <w:pPr>
        <w:ind w:left="720" w:hanging="360"/>
      </w:pPr>
      <w:rPr>
        <w:rFonts w:ascii="Symbol" w:hAnsi="Symbol" w:hint="default"/>
        <w:sz w:val="20"/>
        <w:szCs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75825957"/>
    <w:multiLevelType w:val="hybridMultilevel"/>
    <w:tmpl w:val="909E9B7C"/>
    <w:lvl w:ilvl="0" w:tplc="0409000F">
      <w:start w:val="1"/>
      <w:numFmt w:val="decimal"/>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C2D2826"/>
    <w:multiLevelType w:val="hybridMultilevel"/>
    <w:tmpl w:val="9F305BCC"/>
    <w:lvl w:ilvl="0" w:tplc="2A3804D2">
      <w:start w:val="1"/>
      <w:numFmt w:val="bullet"/>
      <w:lvlText w:val=""/>
      <w:lvlJc w:val="left"/>
      <w:pPr>
        <w:ind w:left="780" w:hanging="360"/>
      </w:pPr>
      <w:rPr>
        <w:rFonts w:ascii="Symbol" w:hAnsi="Symbol" w:hint="default"/>
        <w:sz w:val="20"/>
        <w:szCs w:val="20"/>
      </w:rPr>
    </w:lvl>
    <w:lvl w:ilvl="1" w:tplc="04090003">
      <w:start w:val="1"/>
      <w:numFmt w:val="bullet"/>
      <w:lvlText w:val="o"/>
      <w:lvlJc w:val="left"/>
      <w:pPr>
        <w:ind w:left="1500" w:hanging="360"/>
      </w:pPr>
      <w:rPr>
        <w:rFonts w:ascii="Courier New" w:hAnsi="Courier New" w:cs="Times New Roman"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Times New Roman"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Times New Roman" w:hint="default"/>
      </w:rPr>
    </w:lvl>
    <w:lvl w:ilvl="8" w:tplc="04090005">
      <w:start w:val="1"/>
      <w:numFmt w:val="bullet"/>
      <w:lvlText w:val=""/>
      <w:lvlJc w:val="left"/>
      <w:pPr>
        <w:ind w:left="6540" w:hanging="360"/>
      </w:pPr>
      <w:rPr>
        <w:rFonts w:ascii="Wingdings" w:hAnsi="Wingdings" w:hint="default"/>
      </w:rPr>
    </w:lvl>
  </w:abstractNum>
  <w:abstractNum w:abstractNumId="37" w15:restartNumberingAfterBreak="0">
    <w:nsid w:val="7C47015D"/>
    <w:multiLevelType w:val="hybridMultilevel"/>
    <w:tmpl w:val="EFF2B9F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4"/>
  </w:num>
  <w:num w:numId="2">
    <w:abstractNumId w:val="9"/>
  </w:num>
  <w:num w:numId="3">
    <w:abstractNumId w:val="12"/>
  </w:num>
  <w:num w:numId="4">
    <w:abstractNumId w:val="6"/>
  </w:num>
  <w:num w:numId="5">
    <w:abstractNumId w:val="32"/>
  </w:num>
  <w:num w:numId="6">
    <w:abstractNumId w:val="2"/>
  </w:num>
  <w:num w:numId="7">
    <w:abstractNumId w:val="21"/>
  </w:num>
  <w:num w:numId="8">
    <w:abstractNumId w:val="25"/>
  </w:num>
  <w:num w:numId="9">
    <w:abstractNumId w:val="37"/>
  </w:num>
  <w:num w:numId="10">
    <w:abstractNumId w:val="18"/>
  </w:num>
  <w:num w:numId="11">
    <w:abstractNumId w:val="35"/>
  </w:num>
  <w:num w:numId="12">
    <w:abstractNumId w:val="33"/>
  </w:num>
  <w:num w:numId="13">
    <w:abstractNumId w:val="20"/>
  </w:num>
  <w:num w:numId="14">
    <w:abstractNumId w:val="14"/>
  </w:num>
  <w:num w:numId="15">
    <w:abstractNumId w:val="0"/>
  </w:num>
  <w:num w:numId="16">
    <w:abstractNumId w:val="30"/>
  </w:num>
  <w:num w:numId="17">
    <w:abstractNumId w:val="8"/>
  </w:num>
  <w:num w:numId="18">
    <w:abstractNumId w:val="11"/>
  </w:num>
  <w:num w:numId="19">
    <w:abstractNumId w:val="19"/>
  </w:num>
  <w:num w:numId="20">
    <w:abstractNumId w:val="26"/>
  </w:num>
  <w:num w:numId="21">
    <w:abstractNumId w:val="17"/>
  </w:num>
  <w:num w:numId="22">
    <w:abstractNumId w:val="23"/>
  </w:num>
  <w:num w:numId="23">
    <w:abstractNumId w:val="34"/>
  </w:num>
  <w:num w:numId="24">
    <w:abstractNumId w:val="28"/>
  </w:num>
  <w:num w:numId="2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num>
  <w:num w:numId="27">
    <w:abstractNumId w:val="13"/>
  </w:num>
  <w:num w:numId="28">
    <w:abstractNumId w:val="31"/>
  </w:num>
  <w:num w:numId="29">
    <w:abstractNumId w:val="24"/>
  </w:num>
  <w:num w:numId="30">
    <w:abstractNumId w:val="1"/>
  </w:num>
  <w:num w:numId="31">
    <w:abstractNumId w:val="3"/>
  </w:num>
  <w:num w:numId="32">
    <w:abstractNumId w:val="7"/>
  </w:num>
  <w:num w:numId="33">
    <w:abstractNumId w:val="5"/>
  </w:num>
  <w:num w:numId="34">
    <w:abstractNumId w:val="15"/>
  </w:num>
  <w:num w:numId="35">
    <w:abstractNumId w:val="16"/>
  </w:num>
  <w:num w:numId="36">
    <w:abstractNumId w:val="27"/>
  </w:num>
  <w:num w:numId="37">
    <w:abstractNumId w:val="36"/>
  </w:num>
  <w:num w:numId="3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288"/>
  <w:characterSpacingControl w:val="doNotCompress"/>
  <w:hdrShapeDefaults>
    <o:shapedefaults v:ext="edit" spidmax="2053"/>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2F9B"/>
    <w:rsid w:val="0008573B"/>
    <w:rsid w:val="0009546F"/>
    <w:rsid w:val="000C7E1E"/>
    <w:rsid w:val="001B265F"/>
    <w:rsid w:val="0025362E"/>
    <w:rsid w:val="0027205B"/>
    <w:rsid w:val="002D4198"/>
    <w:rsid w:val="002E3B98"/>
    <w:rsid w:val="003C745B"/>
    <w:rsid w:val="003F41D1"/>
    <w:rsid w:val="00400FE1"/>
    <w:rsid w:val="00402FED"/>
    <w:rsid w:val="00404EFA"/>
    <w:rsid w:val="004055C0"/>
    <w:rsid w:val="00442DB1"/>
    <w:rsid w:val="00462C12"/>
    <w:rsid w:val="004E29B1"/>
    <w:rsid w:val="005F715D"/>
    <w:rsid w:val="0060782B"/>
    <w:rsid w:val="006340CC"/>
    <w:rsid w:val="006633FD"/>
    <w:rsid w:val="00683B16"/>
    <w:rsid w:val="00684591"/>
    <w:rsid w:val="006B471F"/>
    <w:rsid w:val="006C0387"/>
    <w:rsid w:val="00793C4E"/>
    <w:rsid w:val="007A1F2F"/>
    <w:rsid w:val="007C0785"/>
    <w:rsid w:val="007D4E9A"/>
    <w:rsid w:val="0080655C"/>
    <w:rsid w:val="0081054E"/>
    <w:rsid w:val="0084709A"/>
    <w:rsid w:val="008C11C9"/>
    <w:rsid w:val="008C4331"/>
    <w:rsid w:val="009B2F9B"/>
    <w:rsid w:val="009C005A"/>
    <w:rsid w:val="009D2B42"/>
    <w:rsid w:val="00A40FA4"/>
    <w:rsid w:val="00A475FE"/>
    <w:rsid w:val="00A51E9F"/>
    <w:rsid w:val="00A607BC"/>
    <w:rsid w:val="00AE7B79"/>
    <w:rsid w:val="00B31F10"/>
    <w:rsid w:val="00B97006"/>
    <w:rsid w:val="00BE5463"/>
    <w:rsid w:val="00BF73EF"/>
    <w:rsid w:val="00BF7946"/>
    <w:rsid w:val="00CA472B"/>
    <w:rsid w:val="00CC000C"/>
    <w:rsid w:val="00CC213E"/>
    <w:rsid w:val="00D51084"/>
    <w:rsid w:val="00DA6CEC"/>
    <w:rsid w:val="00E041E3"/>
    <w:rsid w:val="00EE78E5"/>
    <w:rsid w:val="00EF5EA2"/>
    <w:rsid w:val="00F42D83"/>
    <w:rsid w:val="00FC27E9"/>
    <w:rsid w:val="00FD75BF"/>
    <w:rsid w:val="00FF69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hapeDefaults>
    <o:shapedefaults v:ext="edit" spidmax="2053"/>
    <o:shapelayout v:ext="edit">
      <o:idmap v:ext="edit" data="2"/>
    </o:shapelayout>
  </w:shapeDefaults>
  <w:decimalSymbol w:val="."/>
  <w:listSeparator w:val=","/>
  <w15:chartTrackingRefBased/>
  <w15:docId w15:val="{C398124C-88B9-4C70-A03A-7AC5B97C8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HAnsi" w:hAnsi="Calibri"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2F9B"/>
  </w:style>
  <w:style w:type="paragraph" w:styleId="Heading1">
    <w:name w:val="heading 1"/>
    <w:basedOn w:val="Normal"/>
    <w:next w:val="Normal"/>
    <w:link w:val="Heading1Char"/>
    <w:autoRedefine/>
    <w:qFormat/>
    <w:rsid w:val="001B265F"/>
    <w:pPr>
      <w:keepNext/>
      <w:keepLines/>
      <w:spacing w:before="240" w:after="0" w:line="240" w:lineRule="auto"/>
      <w:outlineLvl w:val="0"/>
    </w:pPr>
    <w:rPr>
      <w:rFonts w:asciiTheme="minorHAnsi" w:eastAsiaTheme="majorEastAsia" w:hAnsiTheme="minorHAnsi" w:cstheme="majorBidi"/>
      <w:b/>
      <w:color w:val="000000" w:themeColor="text1"/>
      <w:sz w:val="28"/>
      <w:szCs w:val="32"/>
    </w:rPr>
  </w:style>
  <w:style w:type="paragraph" w:styleId="Heading2">
    <w:name w:val="heading 2"/>
    <w:basedOn w:val="Normal"/>
    <w:next w:val="Normal"/>
    <w:link w:val="Heading2Char"/>
    <w:autoRedefine/>
    <w:uiPriority w:val="9"/>
    <w:unhideWhenUsed/>
    <w:qFormat/>
    <w:rsid w:val="00B31F10"/>
    <w:pPr>
      <w:keepNext/>
      <w:keepLines/>
      <w:spacing w:before="200" w:after="60" w:line="240" w:lineRule="auto"/>
      <w:outlineLvl w:val="1"/>
    </w:pPr>
    <w:rPr>
      <w:rFonts w:asciiTheme="minorHAnsi" w:eastAsiaTheme="majorEastAsia" w:hAnsiTheme="minorHAnsi" w:cstheme="majorBidi"/>
      <w:b/>
      <w:sz w:val="26"/>
      <w:szCs w:val="26"/>
    </w:rPr>
  </w:style>
  <w:style w:type="paragraph" w:styleId="Heading3">
    <w:name w:val="heading 3"/>
    <w:basedOn w:val="Normal"/>
    <w:next w:val="Normal"/>
    <w:link w:val="Heading3Char"/>
    <w:autoRedefine/>
    <w:uiPriority w:val="9"/>
    <w:unhideWhenUsed/>
    <w:qFormat/>
    <w:rsid w:val="00B31F10"/>
    <w:pPr>
      <w:keepNext/>
      <w:keepLines/>
      <w:spacing w:before="120" w:after="60" w:line="240" w:lineRule="auto"/>
      <w:ind w:left="360"/>
      <w:outlineLvl w:val="2"/>
    </w:pPr>
    <w:rPr>
      <w:rFonts w:asciiTheme="minorHAnsi" w:eastAsiaTheme="majorEastAsia" w:hAnsiTheme="minorHAnsi" w:cstheme="majorBidi"/>
      <w:b/>
      <w:szCs w:val="24"/>
    </w:rPr>
  </w:style>
  <w:style w:type="paragraph" w:styleId="Heading4">
    <w:name w:val="heading 4"/>
    <w:basedOn w:val="Normal"/>
    <w:next w:val="Normal"/>
    <w:link w:val="Heading4Char"/>
    <w:uiPriority w:val="9"/>
    <w:unhideWhenUsed/>
    <w:qFormat/>
    <w:rsid w:val="00B31F10"/>
    <w:pPr>
      <w:keepNext/>
      <w:keepLines/>
      <w:spacing w:before="40" w:after="0"/>
      <w:outlineLvl w:val="3"/>
    </w:pPr>
    <w:rPr>
      <w:rFonts w:asciiTheme="majorHAnsi" w:eastAsiaTheme="majorEastAsia" w:hAnsiTheme="majorHAnsi" w:cstheme="majorBidi"/>
      <w:i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B265F"/>
    <w:rPr>
      <w:rFonts w:asciiTheme="minorHAnsi" w:eastAsiaTheme="majorEastAsia" w:hAnsiTheme="minorHAnsi" w:cstheme="majorBidi"/>
      <w:b/>
      <w:color w:val="000000" w:themeColor="text1"/>
      <w:sz w:val="28"/>
      <w:szCs w:val="32"/>
    </w:rPr>
  </w:style>
  <w:style w:type="character" w:customStyle="1" w:styleId="Heading2Char">
    <w:name w:val="Heading 2 Char"/>
    <w:basedOn w:val="DefaultParagraphFont"/>
    <w:link w:val="Heading2"/>
    <w:uiPriority w:val="9"/>
    <w:rsid w:val="00B31F10"/>
    <w:rPr>
      <w:rFonts w:asciiTheme="minorHAnsi" w:eastAsiaTheme="majorEastAsia" w:hAnsiTheme="minorHAnsi" w:cstheme="majorBidi"/>
      <w:b/>
      <w:sz w:val="26"/>
      <w:szCs w:val="26"/>
    </w:rPr>
  </w:style>
  <w:style w:type="character" w:customStyle="1" w:styleId="Heading3Char">
    <w:name w:val="Heading 3 Char"/>
    <w:basedOn w:val="DefaultParagraphFont"/>
    <w:link w:val="Heading3"/>
    <w:uiPriority w:val="9"/>
    <w:rsid w:val="00B31F10"/>
    <w:rPr>
      <w:rFonts w:asciiTheme="minorHAnsi" w:eastAsiaTheme="majorEastAsia" w:hAnsiTheme="minorHAnsi" w:cstheme="majorBidi"/>
      <w:b/>
      <w:szCs w:val="24"/>
    </w:rPr>
  </w:style>
  <w:style w:type="paragraph" w:styleId="ListParagraph">
    <w:name w:val="List Paragraph"/>
    <w:basedOn w:val="Normal"/>
    <w:uiPriority w:val="99"/>
    <w:qFormat/>
    <w:rsid w:val="009B2F9B"/>
    <w:pPr>
      <w:spacing w:after="200" w:line="276" w:lineRule="auto"/>
      <w:ind w:left="720"/>
      <w:contextualSpacing/>
    </w:pPr>
    <w:rPr>
      <w:rFonts w:asciiTheme="minorHAnsi" w:hAnsiTheme="minorHAnsi"/>
      <w:sz w:val="22"/>
    </w:rPr>
  </w:style>
  <w:style w:type="character" w:customStyle="1" w:styleId="apple-style-span">
    <w:name w:val="apple-style-span"/>
    <w:basedOn w:val="DefaultParagraphFont"/>
    <w:uiPriority w:val="99"/>
    <w:rsid w:val="009B2F9B"/>
  </w:style>
  <w:style w:type="character" w:customStyle="1" w:styleId="apple-converted-space">
    <w:name w:val="apple-converted-space"/>
    <w:basedOn w:val="DefaultParagraphFont"/>
    <w:uiPriority w:val="99"/>
    <w:rsid w:val="009B2F9B"/>
  </w:style>
  <w:style w:type="paragraph" w:styleId="Header">
    <w:name w:val="header"/>
    <w:basedOn w:val="Normal"/>
    <w:link w:val="HeaderChar"/>
    <w:uiPriority w:val="99"/>
    <w:unhideWhenUsed/>
    <w:rsid w:val="009B2F9B"/>
    <w:pPr>
      <w:tabs>
        <w:tab w:val="center" w:pos="4680"/>
        <w:tab w:val="right" w:pos="9360"/>
      </w:tabs>
      <w:spacing w:after="0" w:line="240" w:lineRule="auto"/>
    </w:pPr>
    <w:rPr>
      <w:rFonts w:asciiTheme="minorHAnsi" w:hAnsiTheme="minorHAnsi"/>
      <w:sz w:val="22"/>
    </w:rPr>
  </w:style>
  <w:style w:type="character" w:customStyle="1" w:styleId="HeaderChar">
    <w:name w:val="Header Char"/>
    <w:basedOn w:val="DefaultParagraphFont"/>
    <w:link w:val="Header"/>
    <w:uiPriority w:val="99"/>
    <w:rsid w:val="009B2F9B"/>
    <w:rPr>
      <w:rFonts w:asciiTheme="minorHAnsi" w:hAnsiTheme="minorHAnsi"/>
      <w:sz w:val="22"/>
    </w:rPr>
  </w:style>
  <w:style w:type="character" w:customStyle="1" w:styleId="HeaderChar1">
    <w:name w:val="Header Char1"/>
    <w:basedOn w:val="DefaultParagraphFont"/>
    <w:uiPriority w:val="99"/>
    <w:rsid w:val="009B2F9B"/>
  </w:style>
  <w:style w:type="paragraph" w:styleId="Footer">
    <w:name w:val="footer"/>
    <w:basedOn w:val="Normal"/>
    <w:link w:val="FooterChar"/>
    <w:uiPriority w:val="99"/>
    <w:unhideWhenUsed/>
    <w:rsid w:val="009B2F9B"/>
    <w:pPr>
      <w:tabs>
        <w:tab w:val="center" w:pos="4680"/>
        <w:tab w:val="right" w:pos="9360"/>
      </w:tabs>
      <w:spacing w:after="0" w:line="240" w:lineRule="auto"/>
    </w:pPr>
    <w:rPr>
      <w:rFonts w:asciiTheme="minorHAnsi" w:hAnsiTheme="minorHAnsi"/>
      <w:sz w:val="22"/>
    </w:rPr>
  </w:style>
  <w:style w:type="character" w:customStyle="1" w:styleId="FooterChar">
    <w:name w:val="Footer Char"/>
    <w:basedOn w:val="DefaultParagraphFont"/>
    <w:link w:val="Footer"/>
    <w:uiPriority w:val="99"/>
    <w:rsid w:val="009B2F9B"/>
    <w:rPr>
      <w:rFonts w:asciiTheme="minorHAnsi" w:hAnsiTheme="minorHAnsi"/>
      <w:sz w:val="22"/>
    </w:rPr>
  </w:style>
  <w:style w:type="character" w:customStyle="1" w:styleId="FooterChar1">
    <w:name w:val="Footer Char1"/>
    <w:basedOn w:val="DefaultParagraphFont"/>
    <w:uiPriority w:val="99"/>
    <w:rsid w:val="009B2F9B"/>
  </w:style>
  <w:style w:type="paragraph" w:styleId="NoSpacing">
    <w:name w:val="No Spacing"/>
    <w:link w:val="NoSpacingChar"/>
    <w:uiPriority w:val="1"/>
    <w:qFormat/>
    <w:rsid w:val="009B2F9B"/>
    <w:pPr>
      <w:spacing w:after="0" w:line="240" w:lineRule="auto"/>
    </w:pPr>
    <w:rPr>
      <w:rFonts w:ascii="Times New Roman" w:eastAsia="Calibri" w:hAnsi="Times New Roman" w:cs="Times New Roman"/>
      <w:szCs w:val="24"/>
    </w:rPr>
  </w:style>
  <w:style w:type="character" w:customStyle="1" w:styleId="NoSpacingChar">
    <w:name w:val="No Spacing Char"/>
    <w:basedOn w:val="DefaultParagraphFont"/>
    <w:link w:val="NoSpacing"/>
    <w:uiPriority w:val="1"/>
    <w:locked/>
    <w:rsid w:val="009B2F9B"/>
    <w:rPr>
      <w:rFonts w:ascii="Times New Roman" w:eastAsia="Calibri" w:hAnsi="Times New Roman" w:cs="Times New Roman"/>
      <w:szCs w:val="24"/>
    </w:rPr>
  </w:style>
  <w:style w:type="paragraph" w:styleId="Subtitle">
    <w:name w:val="Subtitle"/>
    <w:basedOn w:val="Normal"/>
    <w:next w:val="Normal"/>
    <w:link w:val="SubtitleChar"/>
    <w:autoRedefine/>
    <w:qFormat/>
    <w:rsid w:val="0081054E"/>
    <w:pPr>
      <w:numPr>
        <w:ilvl w:val="1"/>
      </w:numPr>
      <w:spacing w:line="240" w:lineRule="auto"/>
    </w:pPr>
    <w:rPr>
      <w:rFonts w:asciiTheme="minorHAnsi" w:eastAsiaTheme="minorEastAsia" w:hAnsiTheme="minorHAnsi"/>
      <w:b/>
      <w:color w:val="000000" w:themeColor="text1"/>
      <w:spacing w:val="15"/>
      <w:sz w:val="32"/>
    </w:rPr>
  </w:style>
  <w:style w:type="character" w:customStyle="1" w:styleId="SubtitleChar">
    <w:name w:val="Subtitle Char"/>
    <w:basedOn w:val="DefaultParagraphFont"/>
    <w:link w:val="Subtitle"/>
    <w:rsid w:val="0081054E"/>
    <w:rPr>
      <w:rFonts w:asciiTheme="minorHAnsi" w:eastAsiaTheme="minorEastAsia" w:hAnsiTheme="minorHAnsi"/>
      <w:b/>
      <w:color w:val="000000" w:themeColor="text1"/>
      <w:spacing w:val="15"/>
      <w:sz w:val="32"/>
    </w:rPr>
  </w:style>
  <w:style w:type="character" w:customStyle="1" w:styleId="SubtitleChar1">
    <w:name w:val="Subtitle Char1"/>
    <w:basedOn w:val="DefaultParagraphFont"/>
    <w:rsid w:val="009B2F9B"/>
    <w:rPr>
      <w:rFonts w:eastAsiaTheme="minorEastAsia"/>
      <w:color w:val="5A5A5A" w:themeColor="text1" w:themeTint="A5"/>
      <w:spacing w:val="15"/>
    </w:rPr>
  </w:style>
  <w:style w:type="paragraph" w:styleId="Title">
    <w:name w:val="Title"/>
    <w:basedOn w:val="Normal"/>
    <w:next w:val="Normal"/>
    <w:link w:val="TitleChar"/>
    <w:autoRedefine/>
    <w:qFormat/>
    <w:rsid w:val="0009546F"/>
    <w:pPr>
      <w:spacing w:after="240" w:line="240" w:lineRule="auto"/>
    </w:pPr>
    <w:rPr>
      <w:rFonts w:eastAsiaTheme="majorEastAsia" w:cstheme="majorBidi"/>
      <w:b/>
      <w:spacing w:val="-10"/>
      <w:kern w:val="28"/>
      <w:sz w:val="28"/>
      <w:szCs w:val="28"/>
    </w:rPr>
  </w:style>
  <w:style w:type="character" w:customStyle="1" w:styleId="TitleChar">
    <w:name w:val="Title Char"/>
    <w:basedOn w:val="DefaultParagraphFont"/>
    <w:link w:val="Title"/>
    <w:rsid w:val="0009546F"/>
    <w:rPr>
      <w:rFonts w:eastAsiaTheme="majorEastAsia" w:cstheme="majorBidi"/>
      <w:b/>
      <w:spacing w:val="-10"/>
      <w:kern w:val="28"/>
      <w:sz w:val="28"/>
      <w:szCs w:val="28"/>
    </w:rPr>
  </w:style>
  <w:style w:type="character" w:customStyle="1" w:styleId="TitleChar1">
    <w:name w:val="Title Char1"/>
    <w:basedOn w:val="DefaultParagraphFont"/>
    <w:uiPriority w:val="10"/>
    <w:rsid w:val="009B2F9B"/>
    <w:rPr>
      <w:rFonts w:ascii="Calibri" w:eastAsiaTheme="majorEastAsia" w:hAnsi="Calibri" w:cstheme="majorBidi"/>
      <w:b/>
      <w:spacing w:val="-10"/>
      <w:kern w:val="28"/>
      <w:sz w:val="32"/>
      <w:szCs w:val="56"/>
    </w:rPr>
  </w:style>
  <w:style w:type="character" w:customStyle="1" w:styleId="NoSpacingChar1">
    <w:name w:val="No Spacing Char1"/>
    <w:rsid w:val="009B2F9B"/>
    <w:rPr>
      <w:rFonts w:eastAsia="Calibri"/>
    </w:rPr>
  </w:style>
  <w:style w:type="paragraph" w:styleId="BodyTextIndent">
    <w:name w:val="Body Text Indent"/>
    <w:basedOn w:val="Normal"/>
    <w:link w:val="BodyTextIndentChar"/>
    <w:uiPriority w:val="99"/>
    <w:unhideWhenUsed/>
    <w:rsid w:val="009B2F9B"/>
    <w:pPr>
      <w:spacing w:after="120" w:line="240" w:lineRule="auto"/>
      <w:ind w:left="360"/>
    </w:pPr>
    <w:rPr>
      <w:rFonts w:ascii="Times New Roman" w:eastAsia="Calibri" w:hAnsi="Times New Roman" w:cs="Times New Roman"/>
      <w:szCs w:val="24"/>
    </w:rPr>
  </w:style>
  <w:style w:type="character" w:customStyle="1" w:styleId="BodyTextIndentChar">
    <w:name w:val="Body Text Indent Char"/>
    <w:basedOn w:val="DefaultParagraphFont"/>
    <w:link w:val="BodyTextIndent"/>
    <w:uiPriority w:val="99"/>
    <w:rsid w:val="009B2F9B"/>
    <w:rPr>
      <w:rFonts w:ascii="Times New Roman" w:eastAsia="Calibri" w:hAnsi="Times New Roman" w:cs="Times New Roman"/>
      <w:szCs w:val="24"/>
    </w:rPr>
  </w:style>
  <w:style w:type="character" w:customStyle="1" w:styleId="BodyTextIndentChar1">
    <w:name w:val="Body Text Indent Char1"/>
    <w:basedOn w:val="DefaultParagraphFont"/>
    <w:uiPriority w:val="99"/>
    <w:rsid w:val="009B2F9B"/>
    <w:rPr>
      <w:rFonts w:eastAsia="Calibri"/>
    </w:rPr>
  </w:style>
  <w:style w:type="paragraph" w:styleId="BalloonText">
    <w:name w:val="Balloon Text"/>
    <w:basedOn w:val="Normal"/>
    <w:link w:val="BalloonTextChar"/>
    <w:uiPriority w:val="99"/>
    <w:semiHidden/>
    <w:unhideWhenUsed/>
    <w:rsid w:val="009B2F9B"/>
    <w:pPr>
      <w:spacing w:after="0" w:line="240" w:lineRule="auto"/>
      <w:jc w:val="center"/>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2F9B"/>
    <w:rPr>
      <w:rFonts w:ascii="Tahoma" w:hAnsi="Tahoma" w:cs="Tahoma"/>
      <w:sz w:val="16"/>
      <w:szCs w:val="16"/>
    </w:rPr>
  </w:style>
  <w:style w:type="character" w:customStyle="1" w:styleId="BalloonTextChar1">
    <w:name w:val="Balloon Text Char1"/>
    <w:basedOn w:val="DefaultParagraphFont"/>
    <w:uiPriority w:val="99"/>
    <w:semiHidden/>
    <w:rsid w:val="009B2F9B"/>
    <w:rPr>
      <w:rFonts w:ascii="Tahoma" w:hAnsi="Tahoma" w:cs="Tahoma"/>
      <w:sz w:val="16"/>
      <w:szCs w:val="16"/>
    </w:rPr>
  </w:style>
  <w:style w:type="character" w:styleId="CommentReference">
    <w:name w:val="annotation reference"/>
    <w:basedOn w:val="DefaultParagraphFont"/>
    <w:uiPriority w:val="99"/>
    <w:semiHidden/>
    <w:unhideWhenUsed/>
    <w:rsid w:val="009B2F9B"/>
    <w:rPr>
      <w:sz w:val="16"/>
      <w:szCs w:val="16"/>
    </w:rPr>
  </w:style>
  <w:style w:type="paragraph" w:styleId="CommentText">
    <w:name w:val="annotation text"/>
    <w:basedOn w:val="Normal"/>
    <w:link w:val="CommentTextChar"/>
    <w:uiPriority w:val="99"/>
    <w:semiHidden/>
    <w:unhideWhenUsed/>
    <w:rsid w:val="009B2F9B"/>
    <w:pPr>
      <w:spacing w:after="200" w:line="276" w:lineRule="auto"/>
    </w:pPr>
    <w:rPr>
      <w:rFonts w:eastAsia="Calibri" w:cs="Times New Roman"/>
      <w:sz w:val="20"/>
      <w:szCs w:val="20"/>
    </w:rPr>
  </w:style>
  <w:style w:type="character" w:customStyle="1" w:styleId="CommentTextChar">
    <w:name w:val="Comment Text Char"/>
    <w:basedOn w:val="DefaultParagraphFont"/>
    <w:link w:val="CommentText"/>
    <w:uiPriority w:val="99"/>
    <w:semiHidden/>
    <w:rsid w:val="009B2F9B"/>
    <w:rPr>
      <w:rFonts w:eastAsia="Calibri" w:cs="Times New Roman"/>
      <w:sz w:val="20"/>
      <w:szCs w:val="20"/>
    </w:rPr>
  </w:style>
  <w:style w:type="character" w:customStyle="1" w:styleId="CommentTextChar1">
    <w:name w:val="Comment Text Char1"/>
    <w:basedOn w:val="DefaultParagraphFont"/>
    <w:uiPriority w:val="99"/>
    <w:semiHidden/>
    <w:rsid w:val="009B2F9B"/>
    <w:rPr>
      <w:rFonts w:ascii="Calibri" w:eastAsia="Calibri" w:hAnsi="Calibri"/>
      <w:sz w:val="20"/>
      <w:szCs w:val="20"/>
    </w:rPr>
  </w:style>
  <w:style w:type="character" w:customStyle="1" w:styleId="HeaderChar2">
    <w:name w:val="Header Char2"/>
    <w:basedOn w:val="DefaultParagraphFont"/>
    <w:uiPriority w:val="99"/>
    <w:rsid w:val="009B2F9B"/>
  </w:style>
  <w:style w:type="character" w:customStyle="1" w:styleId="FooterChar2">
    <w:name w:val="Footer Char2"/>
    <w:basedOn w:val="DefaultParagraphFont"/>
    <w:uiPriority w:val="99"/>
    <w:rsid w:val="009B2F9B"/>
  </w:style>
  <w:style w:type="paragraph" w:styleId="FootnoteText">
    <w:name w:val="footnote text"/>
    <w:basedOn w:val="Normal"/>
    <w:link w:val="FootnoteTextChar"/>
    <w:uiPriority w:val="99"/>
    <w:semiHidden/>
    <w:rsid w:val="009B2F9B"/>
    <w:pPr>
      <w:spacing w:after="200" w:line="276" w:lineRule="auto"/>
    </w:pPr>
    <w:rPr>
      <w:rFonts w:eastAsia="Calibri" w:cs="Times New Roman"/>
      <w:sz w:val="20"/>
      <w:szCs w:val="20"/>
    </w:rPr>
  </w:style>
  <w:style w:type="character" w:customStyle="1" w:styleId="FootnoteTextChar">
    <w:name w:val="Footnote Text Char"/>
    <w:basedOn w:val="DefaultParagraphFont"/>
    <w:link w:val="FootnoteText"/>
    <w:uiPriority w:val="99"/>
    <w:semiHidden/>
    <w:rsid w:val="009B2F9B"/>
    <w:rPr>
      <w:rFonts w:eastAsia="Calibri" w:cs="Times New Roman"/>
      <w:sz w:val="20"/>
      <w:szCs w:val="20"/>
    </w:rPr>
  </w:style>
  <w:style w:type="character" w:customStyle="1" w:styleId="FootnoteTextChar1">
    <w:name w:val="Footnote Text Char1"/>
    <w:basedOn w:val="DefaultParagraphFont"/>
    <w:uiPriority w:val="99"/>
    <w:semiHidden/>
    <w:rsid w:val="009B2F9B"/>
    <w:rPr>
      <w:rFonts w:ascii="Calibri" w:eastAsia="Calibri" w:hAnsi="Calibri"/>
      <w:sz w:val="20"/>
      <w:szCs w:val="20"/>
    </w:rPr>
  </w:style>
  <w:style w:type="character" w:styleId="FootnoteReference">
    <w:name w:val="footnote reference"/>
    <w:basedOn w:val="DefaultParagraphFont"/>
    <w:uiPriority w:val="99"/>
    <w:semiHidden/>
    <w:rsid w:val="009B2F9B"/>
    <w:rPr>
      <w:vertAlign w:val="superscript"/>
    </w:rPr>
  </w:style>
  <w:style w:type="character" w:styleId="Hyperlink">
    <w:name w:val="Hyperlink"/>
    <w:basedOn w:val="DefaultParagraphFont"/>
    <w:uiPriority w:val="99"/>
    <w:unhideWhenUsed/>
    <w:rsid w:val="009B2F9B"/>
    <w:rPr>
      <w:color w:val="0000FF"/>
      <w:u w:val="single"/>
    </w:rPr>
  </w:style>
  <w:style w:type="paragraph" w:customStyle="1" w:styleId="Level9">
    <w:name w:val="Level 9"/>
    <w:basedOn w:val="Normal"/>
    <w:uiPriority w:val="99"/>
    <w:rsid w:val="009B2F9B"/>
    <w:pPr>
      <w:widowControl w:val="0"/>
      <w:spacing w:after="0" w:line="240" w:lineRule="auto"/>
    </w:pPr>
    <w:rPr>
      <w:rFonts w:ascii="Times New Roman" w:eastAsia="Times New Roman" w:hAnsi="Times New Roman" w:cs="Times New Roman"/>
      <w:b/>
      <w:szCs w:val="20"/>
    </w:rPr>
  </w:style>
  <w:style w:type="paragraph" w:customStyle="1" w:styleId="nospacing0">
    <w:name w:val="nospacing"/>
    <w:basedOn w:val="Normal"/>
    <w:uiPriority w:val="99"/>
    <w:rsid w:val="009B2F9B"/>
    <w:pPr>
      <w:spacing w:after="0" w:line="240" w:lineRule="auto"/>
    </w:pPr>
    <w:rPr>
      <w:rFonts w:ascii="Times New Roman" w:eastAsia="Calibri" w:hAnsi="Times New Roman" w:cs="Times New Roman"/>
      <w:szCs w:val="24"/>
    </w:rPr>
  </w:style>
  <w:style w:type="paragraph" w:styleId="PlainText">
    <w:name w:val="Plain Text"/>
    <w:basedOn w:val="Normal"/>
    <w:link w:val="PlainTextChar"/>
    <w:uiPriority w:val="99"/>
    <w:unhideWhenUsed/>
    <w:rsid w:val="009B2F9B"/>
    <w:pPr>
      <w:spacing w:after="0" w:line="240" w:lineRule="auto"/>
    </w:pPr>
    <w:rPr>
      <w:rFonts w:ascii="Consolas" w:eastAsia="Times New Roman" w:hAnsi="Consolas" w:cs="Times New Roman"/>
      <w:sz w:val="21"/>
      <w:szCs w:val="21"/>
    </w:rPr>
  </w:style>
  <w:style w:type="character" w:customStyle="1" w:styleId="PlainTextChar">
    <w:name w:val="Plain Text Char"/>
    <w:basedOn w:val="DefaultParagraphFont"/>
    <w:link w:val="PlainText"/>
    <w:uiPriority w:val="99"/>
    <w:rsid w:val="009B2F9B"/>
    <w:rPr>
      <w:rFonts w:ascii="Consolas" w:eastAsia="Times New Roman" w:hAnsi="Consolas" w:cs="Times New Roman"/>
      <w:sz w:val="21"/>
      <w:szCs w:val="21"/>
    </w:rPr>
  </w:style>
  <w:style w:type="character" w:customStyle="1" w:styleId="PlainTextChar1">
    <w:name w:val="Plain Text Char1"/>
    <w:basedOn w:val="DefaultParagraphFont"/>
    <w:uiPriority w:val="99"/>
    <w:rsid w:val="009B2F9B"/>
    <w:rPr>
      <w:rFonts w:ascii="Consolas" w:eastAsia="Times New Roman" w:hAnsi="Consolas"/>
      <w:sz w:val="21"/>
      <w:szCs w:val="21"/>
    </w:rPr>
  </w:style>
  <w:style w:type="character" w:styleId="Emphasis">
    <w:name w:val="Emphasis"/>
    <w:basedOn w:val="DefaultParagraphFont"/>
    <w:uiPriority w:val="20"/>
    <w:qFormat/>
    <w:rsid w:val="009B2F9B"/>
    <w:rPr>
      <w:i/>
      <w:iCs/>
    </w:rPr>
  </w:style>
  <w:style w:type="character" w:styleId="Strong">
    <w:name w:val="Strong"/>
    <w:basedOn w:val="DefaultParagraphFont"/>
    <w:uiPriority w:val="22"/>
    <w:qFormat/>
    <w:rsid w:val="009B2F9B"/>
    <w:rPr>
      <w:b/>
      <w:bCs/>
    </w:rPr>
  </w:style>
  <w:style w:type="character" w:customStyle="1" w:styleId="Heading1Char1">
    <w:name w:val="Heading 1 Char1"/>
    <w:basedOn w:val="DefaultParagraphFont"/>
    <w:rsid w:val="009B2F9B"/>
    <w:rPr>
      <w:rFonts w:ascii="Calibri" w:eastAsia="Times New Roman" w:hAnsi="Calibri"/>
      <w:b/>
      <w:sz w:val="28"/>
      <w:szCs w:val="20"/>
    </w:rPr>
  </w:style>
  <w:style w:type="paragraph" w:styleId="BodyText">
    <w:name w:val="Body Text"/>
    <w:basedOn w:val="Normal"/>
    <w:link w:val="BodyTextChar"/>
    <w:uiPriority w:val="99"/>
    <w:rsid w:val="009B2F9B"/>
    <w:pPr>
      <w:spacing w:after="120" w:line="240" w:lineRule="auto"/>
      <w:jc w:val="center"/>
    </w:pPr>
    <w:rPr>
      <w:rFonts w:ascii="Times New Roman" w:eastAsia="Times New Roman" w:hAnsi="Times New Roman" w:cs="Times New Roman"/>
      <w:szCs w:val="24"/>
    </w:rPr>
  </w:style>
  <w:style w:type="character" w:customStyle="1" w:styleId="BodyTextChar">
    <w:name w:val="Body Text Char"/>
    <w:basedOn w:val="DefaultParagraphFont"/>
    <w:link w:val="BodyText"/>
    <w:uiPriority w:val="99"/>
    <w:rsid w:val="009B2F9B"/>
    <w:rPr>
      <w:rFonts w:ascii="Times New Roman" w:eastAsia="Times New Roman" w:hAnsi="Times New Roman" w:cs="Times New Roman"/>
      <w:szCs w:val="24"/>
    </w:rPr>
  </w:style>
  <w:style w:type="character" w:customStyle="1" w:styleId="BodyTextChar1">
    <w:name w:val="Body Text Char1"/>
    <w:basedOn w:val="DefaultParagraphFont"/>
    <w:uiPriority w:val="99"/>
    <w:rsid w:val="009B2F9B"/>
    <w:rPr>
      <w:rFonts w:eastAsia="Times New Roman"/>
    </w:rPr>
  </w:style>
  <w:style w:type="table" w:styleId="TableGrid">
    <w:name w:val="Table Grid"/>
    <w:basedOn w:val="TableNormal"/>
    <w:uiPriority w:val="99"/>
    <w:rsid w:val="009B2F9B"/>
    <w:pPr>
      <w:spacing w:after="0" w:line="240" w:lineRule="auto"/>
      <w:jc w:val="center"/>
    </w:pPr>
    <w:rPr>
      <w:rFonts w:ascii="Times New Roman" w:hAnsi="Times New Roman" w:cs="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9B2F9B"/>
    <w:pPr>
      <w:spacing w:after="120" w:line="480" w:lineRule="auto"/>
      <w:jc w:val="center"/>
    </w:pPr>
    <w:rPr>
      <w:rFonts w:ascii="Times New Roman" w:hAnsi="Times New Roman" w:cs="Times New Roman"/>
      <w:szCs w:val="24"/>
    </w:rPr>
  </w:style>
  <w:style w:type="character" w:customStyle="1" w:styleId="BodyText2Char">
    <w:name w:val="Body Text 2 Char"/>
    <w:basedOn w:val="DefaultParagraphFont"/>
    <w:link w:val="BodyText2"/>
    <w:uiPriority w:val="99"/>
    <w:semiHidden/>
    <w:rsid w:val="009B2F9B"/>
    <w:rPr>
      <w:rFonts w:ascii="Times New Roman" w:hAnsi="Times New Roman" w:cs="Times New Roman"/>
      <w:szCs w:val="24"/>
    </w:rPr>
  </w:style>
  <w:style w:type="character" w:customStyle="1" w:styleId="BodyText2Char1">
    <w:name w:val="Body Text 2 Char1"/>
    <w:basedOn w:val="DefaultParagraphFont"/>
    <w:uiPriority w:val="99"/>
    <w:semiHidden/>
    <w:rsid w:val="009B2F9B"/>
  </w:style>
  <w:style w:type="character" w:customStyle="1" w:styleId="SubtitleChar2">
    <w:name w:val="Subtitle Char2"/>
    <w:basedOn w:val="DefaultParagraphFont"/>
    <w:rsid w:val="009B2F9B"/>
    <w:rPr>
      <w:rFonts w:asciiTheme="minorHAnsi" w:eastAsiaTheme="minorEastAsia" w:hAnsiTheme="minorHAnsi" w:cstheme="minorBidi"/>
      <w:b/>
      <w:color w:val="000000" w:themeColor="text1"/>
      <w:spacing w:val="15"/>
      <w:sz w:val="32"/>
      <w:szCs w:val="22"/>
    </w:rPr>
  </w:style>
  <w:style w:type="character" w:customStyle="1" w:styleId="TitleChar2">
    <w:name w:val="Title Char2"/>
    <w:basedOn w:val="DefaultParagraphFont"/>
    <w:uiPriority w:val="10"/>
    <w:rsid w:val="009B2F9B"/>
    <w:rPr>
      <w:rFonts w:asciiTheme="majorHAnsi" w:eastAsiaTheme="majorEastAsia" w:hAnsiTheme="majorHAnsi" w:cstheme="majorBidi"/>
      <w:spacing w:val="-10"/>
      <w:kern w:val="28"/>
      <w:sz w:val="56"/>
      <w:szCs w:val="56"/>
    </w:rPr>
  </w:style>
  <w:style w:type="character" w:customStyle="1" w:styleId="Heading2Char1">
    <w:name w:val="Heading 2 Char1"/>
    <w:basedOn w:val="DefaultParagraphFont"/>
    <w:uiPriority w:val="9"/>
    <w:rsid w:val="009B2F9B"/>
    <w:rPr>
      <w:rFonts w:asciiTheme="minorHAnsi" w:eastAsiaTheme="majorEastAsia" w:hAnsiTheme="minorHAnsi" w:cstheme="majorBidi"/>
      <w:b/>
      <w:sz w:val="26"/>
      <w:szCs w:val="26"/>
    </w:rPr>
  </w:style>
  <w:style w:type="character" w:customStyle="1" w:styleId="Heading3Char1">
    <w:name w:val="Heading 3 Char1"/>
    <w:basedOn w:val="DefaultParagraphFont"/>
    <w:uiPriority w:val="9"/>
    <w:rsid w:val="009B2F9B"/>
    <w:rPr>
      <w:rFonts w:asciiTheme="minorHAnsi" w:eastAsiaTheme="majorEastAsia" w:hAnsiTheme="minorHAnsi" w:cstheme="majorBidi"/>
      <w:u w:val="single"/>
    </w:rPr>
  </w:style>
  <w:style w:type="paragraph" w:styleId="TOCHeading">
    <w:name w:val="TOC Heading"/>
    <w:basedOn w:val="Heading1"/>
    <w:next w:val="Normal"/>
    <w:uiPriority w:val="39"/>
    <w:unhideWhenUsed/>
    <w:qFormat/>
    <w:rsid w:val="009B2F9B"/>
    <w:pPr>
      <w:outlineLvl w:val="9"/>
    </w:pPr>
  </w:style>
  <w:style w:type="paragraph" w:styleId="TOC1">
    <w:name w:val="toc 1"/>
    <w:basedOn w:val="Normal"/>
    <w:next w:val="Normal"/>
    <w:autoRedefine/>
    <w:uiPriority w:val="39"/>
    <w:unhideWhenUsed/>
    <w:rsid w:val="00AE7B79"/>
    <w:pPr>
      <w:tabs>
        <w:tab w:val="left" w:pos="4281"/>
        <w:tab w:val="right" w:leader="dot" w:pos="9350"/>
      </w:tabs>
      <w:spacing w:after="100" w:line="240" w:lineRule="auto"/>
      <w:jc w:val="both"/>
    </w:pPr>
    <w:rPr>
      <w:rFonts w:asciiTheme="minorHAnsi" w:hAnsiTheme="minorHAnsi" w:cs="Times New Roman"/>
      <w:szCs w:val="24"/>
    </w:rPr>
  </w:style>
  <w:style w:type="paragraph" w:styleId="TOC2">
    <w:name w:val="toc 2"/>
    <w:basedOn w:val="Normal"/>
    <w:next w:val="Normal"/>
    <w:autoRedefine/>
    <w:uiPriority w:val="39"/>
    <w:unhideWhenUsed/>
    <w:rsid w:val="009B2F9B"/>
    <w:pPr>
      <w:spacing w:after="100" w:line="240" w:lineRule="auto"/>
      <w:ind w:left="240"/>
      <w:jc w:val="center"/>
    </w:pPr>
    <w:rPr>
      <w:rFonts w:ascii="Times New Roman" w:hAnsi="Times New Roman" w:cs="Times New Roman"/>
      <w:szCs w:val="24"/>
    </w:rPr>
  </w:style>
  <w:style w:type="paragraph" w:styleId="TOC3">
    <w:name w:val="toc 3"/>
    <w:basedOn w:val="Normal"/>
    <w:next w:val="Normal"/>
    <w:autoRedefine/>
    <w:uiPriority w:val="39"/>
    <w:unhideWhenUsed/>
    <w:rsid w:val="00CA472B"/>
    <w:pPr>
      <w:tabs>
        <w:tab w:val="left" w:pos="1320"/>
        <w:tab w:val="right" w:leader="dot" w:pos="9350"/>
      </w:tabs>
      <w:spacing w:after="100" w:line="240" w:lineRule="auto"/>
      <w:ind w:left="475"/>
      <w:jc w:val="center"/>
    </w:pPr>
    <w:rPr>
      <w:rFonts w:ascii="Times New Roman" w:hAnsi="Times New Roman" w:cs="Times New Roman"/>
      <w:szCs w:val="24"/>
    </w:rPr>
  </w:style>
  <w:style w:type="paragraph" w:styleId="Caption">
    <w:name w:val="caption"/>
    <w:basedOn w:val="Normal"/>
    <w:next w:val="Normal"/>
    <w:uiPriority w:val="35"/>
    <w:unhideWhenUsed/>
    <w:qFormat/>
    <w:rsid w:val="009B2F9B"/>
    <w:pPr>
      <w:spacing w:after="0" w:line="240" w:lineRule="auto"/>
      <w:jc w:val="center"/>
    </w:pPr>
    <w:rPr>
      <w:rFonts w:ascii="Times New Roman" w:eastAsia="Calibri" w:hAnsi="Times New Roman" w:cs="Times New Roman"/>
      <w:b/>
      <w:bCs/>
      <w:sz w:val="20"/>
      <w:szCs w:val="20"/>
    </w:rPr>
  </w:style>
  <w:style w:type="paragraph" w:styleId="Bibliography">
    <w:name w:val="Bibliography"/>
    <w:basedOn w:val="Normal"/>
    <w:next w:val="Normal"/>
    <w:uiPriority w:val="37"/>
    <w:unhideWhenUsed/>
    <w:rsid w:val="009B2F9B"/>
    <w:pPr>
      <w:spacing w:after="0" w:line="240" w:lineRule="auto"/>
      <w:jc w:val="center"/>
    </w:pPr>
    <w:rPr>
      <w:rFonts w:ascii="Times New Roman" w:eastAsia="Calibri" w:hAnsi="Times New Roman" w:cs="Times New Roman"/>
      <w:szCs w:val="24"/>
    </w:rPr>
  </w:style>
  <w:style w:type="paragraph" w:customStyle="1" w:styleId="CM22">
    <w:name w:val="CM22"/>
    <w:basedOn w:val="Normal"/>
    <w:next w:val="Normal"/>
    <w:uiPriority w:val="99"/>
    <w:rsid w:val="0084709A"/>
    <w:pPr>
      <w:autoSpaceDE w:val="0"/>
      <w:autoSpaceDN w:val="0"/>
      <w:adjustRightInd w:val="0"/>
      <w:spacing w:after="0" w:line="280" w:lineRule="atLeast"/>
    </w:pPr>
    <w:rPr>
      <w:rFonts w:ascii="Times New Roman" w:eastAsia="Calibri" w:hAnsi="Times New Roman" w:cs="Times New Roman"/>
      <w:szCs w:val="24"/>
    </w:rPr>
  </w:style>
  <w:style w:type="table" w:customStyle="1" w:styleId="GridTable1Light1">
    <w:name w:val="Grid Table 1 Light1"/>
    <w:basedOn w:val="TableNormal"/>
    <w:uiPriority w:val="46"/>
    <w:rsid w:val="0084709A"/>
    <w:pPr>
      <w:spacing w:after="0" w:line="240" w:lineRule="auto"/>
    </w:pPr>
    <w:rPr>
      <w:rFonts w:ascii="Times New Roman" w:eastAsia="Calibri" w:hAnsi="Times New Roman" w:cs="Times New Roman"/>
      <w:sz w:val="22"/>
    </w:r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ableofFigures">
    <w:name w:val="table of figures"/>
    <w:basedOn w:val="Normal"/>
    <w:next w:val="Normal"/>
    <w:uiPriority w:val="99"/>
    <w:unhideWhenUsed/>
    <w:rsid w:val="00BE5463"/>
    <w:pPr>
      <w:spacing w:after="0"/>
    </w:pPr>
  </w:style>
  <w:style w:type="character" w:customStyle="1" w:styleId="Heading4Char">
    <w:name w:val="Heading 4 Char"/>
    <w:basedOn w:val="DefaultParagraphFont"/>
    <w:link w:val="Heading4"/>
    <w:uiPriority w:val="9"/>
    <w:rsid w:val="00B31F10"/>
    <w:rPr>
      <w:rFonts w:asciiTheme="majorHAnsi" w:eastAsiaTheme="majorEastAsia" w:hAnsiTheme="majorHAnsi" w:cstheme="majorBidi"/>
      <w:iCs/>
      <w:u w:val="single"/>
    </w:rPr>
  </w:style>
  <w:style w:type="paragraph" w:styleId="TOC4">
    <w:name w:val="toc 4"/>
    <w:basedOn w:val="Normal"/>
    <w:next w:val="Normal"/>
    <w:autoRedefine/>
    <w:uiPriority w:val="39"/>
    <w:unhideWhenUsed/>
    <w:rsid w:val="00AE7B79"/>
    <w:pPr>
      <w:tabs>
        <w:tab w:val="left" w:pos="1760"/>
        <w:tab w:val="right" w:leader="dot" w:pos="9350"/>
      </w:tabs>
      <w:spacing w:after="100"/>
      <w:ind w:left="720"/>
    </w:pPr>
  </w:style>
  <w:style w:type="character" w:styleId="FollowedHyperlink">
    <w:name w:val="FollowedHyperlink"/>
    <w:basedOn w:val="DefaultParagraphFont"/>
    <w:uiPriority w:val="99"/>
    <w:semiHidden/>
    <w:unhideWhenUsed/>
    <w:rsid w:val="0009546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9777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07/relationships/hdphoto" Target="media/hdphoto1.wdp"/><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yperlink" Target="http://www.otcair.org/document.asp?fview=modelrules"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footer" Target="footer4.xml"/></Relationships>
</file>

<file path=word/_rels/footnotes.xml.rels><?xml version="1.0" encoding="UTF-8" standalone="yes"?>
<Relationships xmlns="http://schemas.openxmlformats.org/package/2006/relationships"><Relationship Id="rId8" Type="http://schemas.openxmlformats.org/officeDocument/2006/relationships/hyperlink" Target="http://www.marama.org/visibility/Inventory%20Summary/2002EmissionsInventory.htm" TargetMode="External"/><Relationship Id="rId13" Type="http://schemas.openxmlformats.org/officeDocument/2006/relationships/hyperlink" Target="http://www.dec.ny.gov/regulations/65983.html" TargetMode="External"/><Relationship Id="rId3" Type="http://schemas.openxmlformats.org/officeDocument/2006/relationships/hyperlink" Target="http://www.otcair.org/upload/Interest/StationaryArea%20Sources/VOC%20OTC%20White%20paper.doc" TargetMode="External"/><Relationship Id="rId7" Type="http://schemas.openxmlformats.org/officeDocument/2006/relationships/hyperlink" Target="http://www.otcair.org/upload/Documents/Model%20Rules/OTC%20CP%20Model%20Rule%20Final%20Clean%202013%20Revision%20Clean.pdf" TargetMode="External"/><Relationship Id="rId12" Type="http://schemas.openxmlformats.org/officeDocument/2006/relationships/hyperlink" Target="http://www.state.nj.us/dep/baqp/rapt/final_scs_workgroup_report.pdf" TargetMode="External"/><Relationship Id="rId17" Type="http://schemas.openxmlformats.org/officeDocument/2006/relationships/hyperlink" Target="http://ntl.bts.gov/lib/32000/32300/32323/2006-08FinalReport.pdf" TargetMode="External"/><Relationship Id="rId2" Type="http://schemas.openxmlformats.org/officeDocument/2006/relationships/hyperlink" Target="http://www.aqmd.gov/docs/default-source/rule-book/reg-xi/rule-1178.pdf" TargetMode="External"/><Relationship Id="rId16" Type="http://schemas.openxmlformats.org/officeDocument/2006/relationships/hyperlink" Target="http://www.dsd.state.md.us/comar/subtitle_chapters/26_Chapters.htm" TargetMode="External"/><Relationship Id="rId1" Type="http://schemas.openxmlformats.org/officeDocument/2006/relationships/hyperlink" Target="https://www3.epa.gov/ttnchie1/ap42/ch07/" TargetMode="External"/><Relationship Id="rId6" Type="http://schemas.openxmlformats.org/officeDocument/2006/relationships/hyperlink" Target="http://www.otcair.org/upload/Documents/Model%20Rules/OTC%20CP%20Model%20Rule%202012%20CLEAN_vs2010.2012%2005%2010.pdf" TargetMode="External"/><Relationship Id="rId11" Type="http://schemas.openxmlformats.org/officeDocument/2006/relationships/hyperlink" Target="http://www.otcair.org/upload/Documents/Meeting%20Materials/OTC%20SAS%20Committee%20-%20Annual%20Meeting%202012.pdf" TargetMode="External"/><Relationship Id="rId5" Type="http://schemas.openxmlformats.org/officeDocument/2006/relationships/hyperlink" Target="http://www.otcair.org/upload/Documents/Formal%20Actions/MOU_adoption_of_new_regional_controls%5b1%5d.pdf" TargetMode="External"/><Relationship Id="rId15" Type="http://schemas.openxmlformats.org/officeDocument/2006/relationships/hyperlink" Target="http://regulations.delaware.gov/AdminCode/title7/1000/1100/1146.shtml" TargetMode="External"/><Relationship Id="rId10" Type="http://schemas.openxmlformats.org/officeDocument/2006/relationships/hyperlink" Target="http://www.ct.gov/deep/lib/deep/air/ozone/ozone_sip_revision/pec.pdf" TargetMode="External"/><Relationship Id="rId4" Type="http://schemas.openxmlformats.org/officeDocument/2006/relationships/hyperlink" Target="http://www.otcair.org/upload/Documents/Model%20Rules/OTC%20State%202001%20Rule%20adoption%20090519%20NY_1.pdf" TargetMode="External"/><Relationship Id="rId9" Type="http://schemas.openxmlformats.org/officeDocument/2006/relationships/hyperlink" Target="https://www3.epa.gov/ttn/caaa/t3/fr_notices/degreasfinalfr2007.pdf" TargetMode="External"/><Relationship Id="rId14" Type="http://schemas.openxmlformats.org/officeDocument/2006/relationships/hyperlink" Target="http://www.state.nj.us/dep/aqm/Sub27.pdf"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4C0F86FE9AB4562B7CE94D46DF5854F"/>
        <w:category>
          <w:name w:val="General"/>
          <w:gallery w:val="placeholder"/>
        </w:category>
        <w:types>
          <w:type w:val="bbPlcHdr"/>
        </w:types>
        <w:behaviors>
          <w:behavior w:val="content"/>
        </w:behaviors>
        <w:guid w:val="{D026A9D0-1133-48E9-8908-6F6152C50AA5}"/>
      </w:docPartPr>
      <w:docPartBody>
        <w:p w:rsidR="00DE42D4" w:rsidRDefault="00DE42D4" w:rsidP="00DE42D4">
          <w:pPr>
            <w:pStyle w:val="54C0F86FE9AB4562B7CE94D46DF5854F"/>
          </w:pPr>
          <w:r>
            <w:rPr>
              <w:rFonts w:asciiTheme="majorHAnsi" w:eastAsiaTheme="majorEastAsia" w:hAnsiTheme="majorHAnsi" w:cstheme="majorBidi"/>
              <w:caps/>
            </w:rPr>
            <w:t>[Type the company name]</w:t>
          </w:r>
        </w:p>
      </w:docPartBody>
    </w:docPart>
    <w:docPart>
      <w:docPartPr>
        <w:name w:val="8B17516F6C0A443D83C0674401ECA999"/>
        <w:category>
          <w:name w:val="General"/>
          <w:gallery w:val="placeholder"/>
        </w:category>
        <w:types>
          <w:type w:val="bbPlcHdr"/>
        </w:types>
        <w:behaviors>
          <w:behavior w:val="content"/>
        </w:behaviors>
        <w:guid w:val="{3E069DE9-77DE-4348-A4C2-4FA6A4C9C75F}"/>
      </w:docPartPr>
      <w:docPartBody>
        <w:p w:rsidR="00DE42D4" w:rsidRDefault="00DE42D4" w:rsidP="00DE42D4">
          <w:pPr>
            <w:pStyle w:val="8B17516F6C0A443D83C0674401ECA999"/>
          </w:pPr>
          <w:r>
            <w:rPr>
              <w:rFonts w:asciiTheme="majorHAnsi" w:eastAsiaTheme="majorEastAsia" w:hAnsiTheme="majorHAnsi" w:cstheme="majorBidi"/>
              <w:sz w:val="80"/>
              <w:szCs w:val="80"/>
            </w:rPr>
            <w:t>[Type the document title]</w:t>
          </w:r>
        </w:p>
      </w:docPartBody>
    </w:docPart>
    <w:docPart>
      <w:docPartPr>
        <w:name w:val="61B69105838440CCAB4274E8D666030E"/>
        <w:category>
          <w:name w:val="General"/>
          <w:gallery w:val="placeholder"/>
        </w:category>
        <w:types>
          <w:type w:val="bbPlcHdr"/>
        </w:types>
        <w:behaviors>
          <w:behavior w:val="content"/>
        </w:behaviors>
        <w:guid w:val="{F355D43D-7A3C-4162-8EC9-3553A1E43B54}"/>
      </w:docPartPr>
      <w:docPartBody>
        <w:p w:rsidR="00DE42D4" w:rsidRDefault="00DE42D4" w:rsidP="00DE42D4">
          <w:pPr>
            <w:pStyle w:val="61B69105838440CCAB4274E8D666030E"/>
          </w:pPr>
          <w:r>
            <w:rPr>
              <w:rFonts w:asciiTheme="majorHAnsi" w:eastAsiaTheme="majorEastAsia" w:hAnsiTheme="majorHAnsi" w:cstheme="majorBidi"/>
              <w:sz w:val="44"/>
              <w:szCs w:val="44"/>
            </w:rPr>
            <w:t>[Type the 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W1)">
    <w:altName w:val="Times New Roman"/>
    <w:charset w:val="00"/>
    <w:family w:val="roman"/>
    <w:pitch w:val="variable"/>
    <w:sig w:usb0="20002A87" w:usb1="80000000" w:usb2="00000008"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42D4"/>
    <w:rsid w:val="000F7011"/>
    <w:rsid w:val="00255EC3"/>
    <w:rsid w:val="00DE42D4"/>
    <w:rsid w:val="00FF4A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4C0F86FE9AB4562B7CE94D46DF5854F">
    <w:name w:val="54C0F86FE9AB4562B7CE94D46DF5854F"/>
    <w:rsid w:val="00DE42D4"/>
  </w:style>
  <w:style w:type="paragraph" w:customStyle="1" w:styleId="8B17516F6C0A443D83C0674401ECA999">
    <w:name w:val="8B17516F6C0A443D83C0674401ECA999"/>
    <w:rsid w:val="00DE42D4"/>
  </w:style>
  <w:style w:type="paragraph" w:customStyle="1" w:styleId="61B69105838440CCAB4274E8D666030E">
    <w:name w:val="61B69105838440CCAB4274E8D666030E"/>
    <w:rsid w:val="00DE42D4"/>
  </w:style>
  <w:style w:type="paragraph" w:customStyle="1" w:styleId="A5477FBF78044979A69A366FE2699688">
    <w:name w:val="A5477FBF78044979A69A366FE2699688"/>
    <w:rsid w:val="00DE42D4"/>
  </w:style>
  <w:style w:type="paragraph" w:customStyle="1" w:styleId="4969DDBB64CB417A84E666B864E99C1C">
    <w:name w:val="4969DDBB64CB417A84E666B864E99C1C"/>
    <w:rsid w:val="00DE42D4"/>
  </w:style>
  <w:style w:type="paragraph" w:customStyle="1" w:styleId="C7616F5D6927427A969089C2B9C92E1E">
    <w:name w:val="C7616F5D6927427A969089C2B9C92E1E"/>
    <w:rsid w:val="00DE42D4"/>
  </w:style>
  <w:style w:type="paragraph" w:customStyle="1" w:styleId="9BB99A6FD3D94187B063CDF383F32C5A">
    <w:name w:val="9BB99A6FD3D94187B063CDF383F32C5A"/>
    <w:rsid w:val="000F7011"/>
  </w:style>
  <w:style w:type="paragraph" w:customStyle="1" w:styleId="761A7EAE8FD546F4A0B16639C7699E0D">
    <w:name w:val="761A7EAE8FD546F4A0B16639C7699E0D"/>
    <w:rsid w:val="000F7011"/>
  </w:style>
  <w:style w:type="paragraph" w:customStyle="1" w:styleId="BE8B6CE94B504E29A4821CB5D17DF016">
    <w:name w:val="BE8B6CE94B504E29A4821CB5D17DF016"/>
    <w:rsid w:val="000F701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DE0F80-A7CF-4C4E-A74A-DD22BF3162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20865</Words>
  <Characters>118935</Characters>
  <Application>Microsoft Office Word</Application>
  <DocSecurity>0</DocSecurity>
  <Lines>991</Lines>
  <Paragraphs>279</Paragraphs>
  <ScaleCrop>false</ScaleCrop>
  <HeadingPairs>
    <vt:vector size="2" baseType="variant">
      <vt:variant>
        <vt:lpstr>Title</vt:lpstr>
      </vt:variant>
      <vt:variant>
        <vt:i4>1</vt:i4>
      </vt:variant>
    </vt:vector>
  </HeadingPairs>
  <TitlesOfParts>
    <vt:vector size="1" baseType="lpstr">
      <vt:lpstr>Nitrogen Oxides (NOx) and Photo-reactive Volatile Organic Compounds (VOCs)</vt:lpstr>
    </vt:vector>
  </TitlesOfParts>
  <Company>OZONE TRANSPORT COMMISSION</Company>
  <LinksUpToDate>false</LinksUpToDate>
  <CharactersWithSpaces>139521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Nitrogen Oxides (NOx) and Photo-reactive Volatile Organic Compounds (VOCs)</dc:title>
  <dc:subject>Technical Support Document</dc:subject>
  <dc:creator>srajan</dc:creator>
  <cp:keywords/>
  <dc:description/>
  <cp:lastModifiedBy>srajan</cp:lastModifiedBy>
  <cp:revision>2</cp:revision>
  <dcterms:created xsi:type="dcterms:W3CDTF">2016-09-09T13:43:00Z</dcterms:created>
  <dcterms:modified xsi:type="dcterms:W3CDTF">2016-09-09T13:43:00Z</dcterms:modified>
</cp:coreProperties>
</file>